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50" w:rsidRPr="00C62150" w:rsidRDefault="00475E53" w:rsidP="00A94409">
      <w:pPr>
        <w:jc w:val="center"/>
        <w:rPr>
          <w:b/>
          <w:sz w:val="36"/>
        </w:rPr>
      </w:pPr>
      <w:r>
        <w:rPr>
          <w:b/>
          <w:sz w:val="36"/>
        </w:rPr>
        <w:t>Dynamics of Carrier Transport in Nano</w:t>
      </w:r>
      <w:r w:rsidR="00E76E40">
        <w:rPr>
          <w:rFonts w:eastAsiaTheme="minorEastAsia" w:hint="eastAsia"/>
          <w:b/>
          <w:sz w:val="36"/>
          <w:lang w:eastAsia="ja-JP"/>
        </w:rPr>
        <w:t>scale M</w:t>
      </w:r>
      <w:r w:rsidR="005354DF">
        <w:rPr>
          <w:b/>
          <w:sz w:val="36"/>
        </w:rPr>
        <w:t>aterials</w:t>
      </w:r>
    </w:p>
    <w:p w:rsidR="00C62150" w:rsidRPr="00C62150" w:rsidRDefault="00475E53" w:rsidP="007B1FDB">
      <w:pPr>
        <w:spacing w:before="240" w:after="240"/>
        <w:jc w:val="center"/>
        <w:rPr>
          <w:b/>
          <w:lang w:val="it-IT"/>
        </w:rPr>
      </w:pPr>
      <w:r>
        <w:rPr>
          <w:b/>
          <w:lang w:val="it-IT"/>
        </w:rPr>
        <w:t>Koichi Shimakawa</w:t>
      </w:r>
      <w:r w:rsidR="007B1FDB" w:rsidRPr="00F437F6">
        <w:rPr>
          <w:rFonts w:asciiTheme="minorEastAsia" w:eastAsiaTheme="minorEastAsia" w:hAnsiTheme="minorEastAsia" w:hint="eastAsia"/>
          <w:b/>
          <w:highlight w:val="yellow"/>
          <w:vertAlign w:val="superscript"/>
          <w:lang w:val="it-IT" w:eastAsia="ja-JP"/>
        </w:rPr>
        <w:t>a,b)</w:t>
      </w:r>
    </w:p>
    <w:p w:rsidR="002101BB" w:rsidRDefault="007B1FDB" w:rsidP="007B1FDB">
      <w:pPr>
        <w:jc w:val="left"/>
      </w:pPr>
      <w:r w:rsidRPr="00F437F6">
        <w:rPr>
          <w:sz w:val="28"/>
          <w:highlight w:val="yellow"/>
          <w:vertAlign w:val="superscript"/>
          <w:lang w:val="it-IT"/>
        </w:rPr>
        <w:t>a)</w:t>
      </w:r>
      <w:r>
        <w:t xml:space="preserve"> </w:t>
      </w:r>
      <w:r w:rsidR="002101BB">
        <w:t xml:space="preserve">Department of Electrical </w:t>
      </w:r>
      <w:r w:rsidR="0014565A">
        <w:t xml:space="preserve">and Electronic </w:t>
      </w:r>
      <w:r w:rsidR="002101BB">
        <w:t xml:space="preserve">Engineering, </w:t>
      </w:r>
      <w:r w:rsidR="0014565A">
        <w:t xml:space="preserve">Gifu </w:t>
      </w:r>
      <w:r w:rsidR="002101BB">
        <w:t>University</w:t>
      </w:r>
      <w:r w:rsidR="0014565A">
        <w:t>, Gifu 501-1193, Japan</w:t>
      </w:r>
    </w:p>
    <w:p w:rsidR="007B1FDB" w:rsidRDefault="007B1FDB" w:rsidP="00C62150">
      <w:pPr>
        <w:ind w:left="284" w:hanging="284"/>
        <w:jc w:val="left"/>
      </w:pPr>
      <w:r w:rsidRPr="00F437F6">
        <w:rPr>
          <w:highlight w:val="yellow"/>
          <w:vertAlign w:val="superscript"/>
        </w:rPr>
        <w:t>b)</w:t>
      </w:r>
      <w:r>
        <w:t xml:space="preserve"> Faculty of Engineering, </w:t>
      </w:r>
      <w:bookmarkStart w:id="0" w:name="_Hlk498505962"/>
      <w:proofErr w:type="spellStart"/>
      <w:r>
        <w:t>Universidate</w:t>
      </w:r>
      <w:proofErr w:type="spellEnd"/>
      <w:r>
        <w:t xml:space="preserve"> Nacional Timor </w:t>
      </w:r>
      <w:proofErr w:type="spellStart"/>
      <w:r>
        <w:t>Lorosa’e</w:t>
      </w:r>
      <w:bookmarkEnd w:id="0"/>
      <w:proofErr w:type="spellEnd"/>
      <w:r>
        <w:t>, Hera, East Timor</w:t>
      </w:r>
      <w:r w:rsidR="002101BB">
        <w:t xml:space="preserve">    </w:t>
      </w:r>
      <w:r w:rsidR="0014565A">
        <w:t xml:space="preserve"> </w:t>
      </w:r>
    </w:p>
    <w:p w:rsidR="007B1FDB" w:rsidRDefault="007B1FDB" w:rsidP="00C62150">
      <w:pPr>
        <w:ind w:left="284" w:hanging="284"/>
        <w:jc w:val="left"/>
      </w:pPr>
    </w:p>
    <w:p w:rsidR="00C62150" w:rsidRPr="00C62150" w:rsidRDefault="0014565A" w:rsidP="00C62150">
      <w:pPr>
        <w:ind w:left="284" w:hanging="284"/>
        <w:jc w:val="left"/>
      </w:pPr>
      <w:r>
        <w:t>E-Mail</w:t>
      </w:r>
      <w:r w:rsidR="00C62150" w:rsidRPr="00C62150">
        <w:t xml:space="preserve">: </w:t>
      </w:r>
      <w:r w:rsidR="00F437F6" w:rsidRPr="00F437F6">
        <w:rPr>
          <w:highlight w:val="yellow"/>
        </w:rPr>
        <w:t>cancio.monteiro@untl.edu.tl</w:t>
      </w:r>
      <w:r w:rsidR="00C62150" w:rsidRPr="00C62150">
        <w:t xml:space="preserve"> </w:t>
      </w:r>
    </w:p>
    <w:p w:rsidR="00481AD1" w:rsidRDefault="00481AD1" w:rsidP="007125F4">
      <w:pPr>
        <w:pBdr>
          <w:bottom w:val="single" w:sz="4" w:space="1" w:color="auto"/>
        </w:pBdr>
        <w:jc w:val="left"/>
      </w:pPr>
    </w:p>
    <w:p w:rsidR="006959D8" w:rsidRDefault="00481AD1" w:rsidP="006959D8">
      <w:pPr>
        <w:spacing w:before="240"/>
        <w:ind w:left="562" w:right="562"/>
        <w:rPr>
          <w:rFonts w:eastAsiaTheme="minorEastAsia"/>
          <w:lang w:eastAsia="ja-JP"/>
        </w:rPr>
      </w:pPr>
      <w:r w:rsidRPr="0080423D">
        <w:rPr>
          <w:b/>
          <w:highlight w:val="yellow"/>
          <w:lang w:eastAsia="en-US"/>
        </w:rPr>
        <w:t>Abstract:</w:t>
      </w:r>
      <w:r>
        <w:rPr>
          <w:b/>
          <w:lang w:eastAsia="en-US"/>
        </w:rPr>
        <w:t xml:space="preserve"> </w:t>
      </w:r>
      <w:r w:rsidR="00E76E40">
        <w:rPr>
          <w:rFonts w:eastAsiaTheme="minorEastAsia" w:hint="eastAsia"/>
          <w:lang w:eastAsia="ja-JP"/>
        </w:rPr>
        <w:t xml:space="preserve">It is known </w:t>
      </w:r>
      <w:r w:rsidR="0027625B">
        <w:rPr>
          <w:rFonts w:eastAsiaTheme="minorEastAsia"/>
          <w:lang w:eastAsia="ja-JP"/>
        </w:rPr>
        <w:t>from the</w:t>
      </w:r>
      <w:r w:rsidR="006959D8">
        <w:rPr>
          <w:rFonts w:eastAsiaTheme="minorEastAsia"/>
          <w:lang w:eastAsia="ja-JP"/>
        </w:rPr>
        <w:t xml:space="preserve"> terahertz (THz) </w:t>
      </w:r>
      <w:r w:rsidR="0027625B">
        <w:rPr>
          <w:rFonts w:eastAsiaTheme="minorEastAsia"/>
          <w:lang w:eastAsia="ja-JP"/>
        </w:rPr>
        <w:t>spectroscopies</w:t>
      </w:r>
      <w:r w:rsidR="006959D8">
        <w:rPr>
          <w:rFonts w:eastAsiaTheme="minorEastAsia"/>
          <w:lang w:eastAsia="ja-JP"/>
        </w:rPr>
        <w:t xml:space="preserve"> </w:t>
      </w:r>
      <w:r w:rsidR="00E76E40">
        <w:rPr>
          <w:rFonts w:eastAsiaTheme="minorEastAsia" w:hint="eastAsia"/>
          <w:lang w:eastAsia="ja-JP"/>
        </w:rPr>
        <w:t xml:space="preserve">that </w:t>
      </w:r>
      <w:r w:rsidR="0024416A">
        <w:rPr>
          <w:rFonts w:eastAsiaTheme="minorEastAsia" w:hint="eastAsia"/>
          <w:lang w:eastAsia="ja-JP"/>
        </w:rPr>
        <w:t xml:space="preserve">deviation from the </w:t>
      </w:r>
      <w:proofErr w:type="spellStart"/>
      <w:r w:rsidR="0024416A">
        <w:rPr>
          <w:rFonts w:eastAsiaTheme="minorEastAsia" w:hint="eastAsia"/>
          <w:lang w:eastAsia="ja-JP"/>
        </w:rPr>
        <w:t>Drude</w:t>
      </w:r>
      <w:proofErr w:type="spellEnd"/>
      <w:r w:rsidR="0024416A">
        <w:rPr>
          <w:rFonts w:eastAsiaTheme="minorEastAsia" w:hint="eastAsia"/>
          <w:lang w:eastAsia="ja-JP"/>
        </w:rPr>
        <w:t xml:space="preserve"> law for free carriers is dramatic in most electronically conductive nanomaterials. </w:t>
      </w:r>
      <w:r w:rsidR="006959D8">
        <w:rPr>
          <w:rFonts w:eastAsiaTheme="minorEastAsia"/>
          <w:lang w:eastAsia="ja-JP"/>
        </w:rPr>
        <w:t xml:space="preserve">It is suggested that </w:t>
      </w:r>
      <w:r w:rsidR="00E64F65">
        <w:rPr>
          <w:rFonts w:eastAsiaTheme="minorEastAsia" w:hint="eastAsia"/>
          <w:lang w:eastAsia="ja-JP"/>
        </w:rPr>
        <w:t>among a variety of theoretical formalisms, a</w:t>
      </w:r>
      <w:r w:rsidR="007B35FB">
        <w:rPr>
          <w:rFonts w:eastAsiaTheme="minorEastAsia" w:hint="eastAsia"/>
          <w:lang w:eastAsia="ja-JP"/>
        </w:rPr>
        <w:t xml:space="preserve"> </w:t>
      </w:r>
      <w:r w:rsidR="00E64F65">
        <w:rPr>
          <w:rFonts w:eastAsiaTheme="minorEastAsia" w:hint="eastAsia"/>
          <w:lang w:eastAsia="ja-JP"/>
        </w:rPr>
        <w:t xml:space="preserve">model of </w:t>
      </w:r>
      <w:r w:rsidR="0024416A">
        <w:rPr>
          <w:rFonts w:eastAsiaTheme="minorEastAsia" w:hint="eastAsia"/>
          <w:lang w:eastAsia="ja-JP"/>
        </w:rPr>
        <w:t>series sequence</w:t>
      </w:r>
      <w:r w:rsidR="007B35FB">
        <w:rPr>
          <w:rFonts w:eastAsiaTheme="minorEastAsia" w:hint="eastAsia"/>
          <w:lang w:eastAsia="ja-JP"/>
        </w:rPr>
        <w:t xml:space="preserve"> of transport involving grains and grain boundaries </w:t>
      </w:r>
      <w:r w:rsidR="00E64F65">
        <w:rPr>
          <w:rFonts w:eastAsiaTheme="minorEastAsia" w:hint="eastAsia"/>
          <w:lang w:eastAsia="ja-JP"/>
        </w:rPr>
        <w:t>pro</w:t>
      </w:r>
      <w:r w:rsidR="00372554">
        <w:rPr>
          <w:rFonts w:eastAsiaTheme="minorEastAsia" w:hint="eastAsia"/>
          <w:lang w:eastAsia="ja-JP"/>
        </w:rPr>
        <w:t>vid</w:t>
      </w:r>
      <w:r w:rsidR="00E64F65">
        <w:rPr>
          <w:rFonts w:eastAsiaTheme="minorEastAsia" w:hint="eastAsia"/>
          <w:lang w:eastAsia="ja-JP"/>
        </w:rPr>
        <w:t xml:space="preserve">es a </w:t>
      </w:r>
      <w:r w:rsidR="00E64F65">
        <w:rPr>
          <w:rFonts w:eastAsiaTheme="minorEastAsia"/>
          <w:lang w:eastAsia="ja-JP"/>
        </w:rPr>
        <w:t>reasonable</w:t>
      </w:r>
      <w:r w:rsidR="00E64F65">
        <w:rPr>
          <w:rFonts w:eastAsiaTheme="minorEastAsia" w:hint="eastAsia"/>
          <w:lang w:eastAsia="ja-JP"/>
        </w:rPr>
        <w:t xml:space="preserve"> explanation of </w:t>
      </w:r>
      <w:r w:rsidR="007B35FB">
        <w:rPr>
          <w:rFonts w:eastAsiaTheme="minorEastAsia" w:hint="eastAsia"/>
          <w:lang w:eastAsia="ja-JP"/>
        </w:rPr>
        <w:t>Lorentz-type resonance (non-</w:t>
      </w:r>
      <w:proofErr w:type="spellStart"/>
      <w:r w:rsidR="007B35FB">
        <w:rPr>
          <w:rFonts w:eastAsiaTheme="minorEastAsia" w:hint="eastAsia"/>
          <w:lang w:eastAsia="ja-JP"/>
        </w:rPr>
        <w:t>Drude</w:t>
      </w:r>
      <w:proofErr w:type="spellEnd"/>
      <w:r w:rsidR="007B35FB">
        <w:rPr>
          <w:rFonts w:eastAsiaTheme="minorEastAsia" w:hint="eastAsia"/>
          <w:lang w:eastAsia="ja-JP"/>
        </w:rPr>
        <w:t xml:space="preserve"> behavior) in nanomaterials. </w:t>
      </w:r>
      <w:r w:rsidR="00E64F65">
        <w:rPr>
          <w:rFonts w:eastAsiaTheme="minorEastAsia" w:hint="eastAsia"/>
          <w:lang w:eastAsia="ja-JP"/>
        </w:rPr>
        <w:t>Of particular interest is why do free carriers behave as a Lorentz-type resonance</w:t>
      </w:r>
      <w:r w:rsidR="006959D8">
        <w:rPr>
          <w:rFonts w:eastAsiaTheme="minorEastAsia"/>
          <w:lang w:eastAsia="ja-JP"/>
        </w:rPr>
        <w:t xml:space="preserve">. </w:t>
      </w:r>
    </w:p>
    <w:p w:rsidR="00481AD1" w:rsidRDefault="00481AD1" w:rsidP="006959D8">
      <w:pPr>
        <w:spacing w:before="240"/>
        <w:ind w:left="562" w:right="562"/>
        <w:rPr>
          <w:lang w:eastAsia="en-US"/>
        </w:rPr>
      </w:pPr>
      <w:r w:rsidRPr="0080423D">
        <w:rPr>
          <w:b/>
          <w:highlight w:val="yellow"/>
          <w:lang w:eastAsia="en-US"/>
        </w:rPr>
        <w:t>Keywords:</w:t>
      </w:r>
      <w:r>
        <w:rPr>
          <w:b/>
          <w:lang w:eastAsia="en-US"/>
        </w:rPr>
        <w:t xml:space="preserve"> </w:t>
      </w:r>
      <w:r w:rsidR="006A1882" w:rsidRPr="006A1882">
        <w:rPr>
          <w:lang w:eastAsia="en-US"/>
        </w:rPr>
        <w:t>nanomaterial</w:t>
      </w:r>
      <w:r w:rsidR="00A86571">
        <w:rPr>
          <w:lang w:eastAsia="en-US"/>
        </w:rPr>
        <w:t>,</w:t>
      </w:r>
      <w:r w:rsidR="006A1882" w:rsidRPr="006A1882">
        <w:rPr>
          <w:lang w:eastAsia="en-US"/>
        </w:rPr>
        <w:t xml:space="preserve"> THz spectroscopy, non-</w:t>
      </w:r>
      <w:proofErr w:type="spellStart"/>
      <w:r w:rsidR="006A1882" w:rsidRPr="006A1882">
        <w:rPr>
          <w:lang w:eastAsia="en-US"/>
        </w:rPr>
        <w:t>Drude</w:t>
      </w:r>
      <w:proofErr w:type="spellEnd"/>
      <w:r w:rsidR="006A1882" w:rsidRPr="006A1882">
        <w:rPr>
          <w:lang w:eastAsia="en-US"/>
        </w:rPr>
        <w:t xml:space="preserve"> transport</w:t>
      </w:r>
    </w:p>
    <w:p w:rsidR="00481AD1" w:rsidRDefault="00481AD1" w:rsidP="007125F4">
      <w:pPr>
        <w:pBdr>
          <w:bottom w:val="single" w:sz="4" w:space="1" w:color="auto"/>
        </w:pBdr>
        <w:spacing w:after="480"/>
        <w:rPr>
          <w:lang w:eastAsia="en-US"/>
        </w:rPr>
      </w:pPr>
    </w:p>
    <w:p w:rsidR="00985ED5" w:rsidRDefault="00985ED5" w:rsidP="00F33EC8">
      <w:pPr>
        <w:spacing w:before="240" w:after="240"/>
        <w:jc w:val="left"/>
        <w:rPr>
          <w:b/>
          <w:lang w:eastAsia="zh-CN"/>
        </w:rPr>
        <w:sectPr w:rsidR="00985ED5" w:rsidSect="007125F4">
          <w:headerReference w:type="default" r:id="rId8"/>
          <w:footerReference w:type="even" r:id="rId9"/>
          <w:footerReference w:type="default" r:id="rId10"/>
          <w:type w:val="continuous"/>
          <w:pgSz w:w="11913" w:h="16834" w:code="9"/>
          <w:pgMar w:top="994" w:right="994" w:bottom="994" w:left="994" w:header="851" w:footer="567" w:gutter="0"/>
          <w:cols w:space="397"/>
          <w:noEndnote/>
          <w:titlePg/>
          <w:docGrid w:linePitch="326"/>
        </w:sectPr>
      </w:pPr>
    </w:p>
    <w:p w:rsidR="00481AD1" w:rsidRDefault="00481AD1" w:rsidP="00F33EC8">
      <w:pPr>
        <w:spacing w:before="240" w:after="240"/>
        <w:jc w:val="left"/>
        <w:rPr>
          <w:b/>
          <w:lang w:eastAsia="en-US"/>
        </w:rPr>
      </w:pPr>
      <w:r>
        <w:rPr>
          <w:b/>
          <w:lang w:eastAsia="zh-CN"/>
        </w:rPr>
        <w:t xml:space="preserve">1. </w:t>
      </w:r>
      <w:r w:rsidRPr="0080423D">
        <w:rPr>
          <w:b/>
          <w:highlight w:val="yellow"/>
          <w:lang w:eastAsia="en-US"/>
        </w:rPr>
        <w:t>Introduction</w:t>
      </w:r>
    </w:p>
    <w:p w:rsidR="00DE32AC" w:rsidRPr="00372554" w:rsidRDefault="00182AB2" w:rsidP="00481AD1">
      <w:pPr>
        <w:ind w:firstLine="284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The interaction of </w:t>
      </w:r>
      <w:r w:rsidR="00372554">
        <w:rPr>
          <w:rFonts w:eastAsiaTheme="minorEastAsia" w:hint="eastAsia"/>
          <w:lang w:eastAsia="ja-JP"/>
        </w:rPr>
        <w:t xml:space="preserve">THz radiation </w:t>
      </w:r>
      <w:r w:rsidR="00CF2CC0">
        <w:rPr>
          <w:rFonts w:eastAsiaTheme="minorEastAsia"/>
          <w:lang w:eastAsia="ja-JP"/>
        </w:rPr>
        <w:t>(0.1</w:t>
      </w:r>
      <w:r w:rsidR="00CF7701">
        <w:rPr>
          <w:rFonts w:eastAsiaTheme="minorEastAsia"/>
          <w:lang w:eastAsia="ja-JP"/>
        </w:rPr>
        <w:t xml:space="preserve"> – </w:t>
      </w:r>
      <w:r w:rsidR="00CF2CC0">
        <w:rPr>
          <w:rFonts w:eastAsiaTheme="minorEastAsia"/>
          <w:lang w:eastAsia="ja-JP"/>
        </w:rPr>
        <w:t>10 THz; 0.4</w:t>
      </w:r>
      <w:r w:rsidR="00CF7701">
        <w:rPr>
          <w:rFonts w:eastAsiaTheme="minorEastAsia"/>
          <w:lang w:eastAsia="ja-JP"/>
        </w:rPr>
        <w:t xml:space="preserve"> – </w:t>
      </w:r>
      <w:r w:rsidR="00CF2CC0">
        <w:rPr>
          <w:rFonts w:eastAsiaTheme="minorEastAsia"/>
          <w:lang w:eastAsia="ja-JP"/>
        </w:rPr>
        <w:t xml:space="preserve">40 </w:t>
      </w:r>
      <w:proofErr w:type="spellStart"/>
      <w:r w:rsidR="00CF2CC0">
        <w:rPr>
          <w:rFonts w:eastAsiaTheme="minorEastAsia"/>
          <w:lang w:eastAsia="ja-JP"/>
        </w:rPr>
        <w:t>meV</w:t>
      </w:r>
      <w:proofErr w:type="spellEnd"/>
      <w:r w:rsidR="00CF2CC0">
        <w:rPr>
          <w:rFonts w:eastAsiaTheme="minorEastAsia"/>
          <w:lang w:eastAsia="ja-JP"/>
        </w:rPr>
        <w:t xml:space="preserve">) </w:t>
      </w:r>
      <w:r w:rsidR="00372554">
        <w:rPr>
          <w:rFonts w:eastAsiaTheme="minorEastAsia" w:hint="eastAsia"/>
          <w:lang w:eastAsia="ja-JP"/>
        </w:rPr>
        <w:t>with charge carriers provides</w:t>
      </w:r>
      <w:r w:rsidR="00A11EE7">
        <w:rPr>
          <w:rFonts w:eastAsiaTheme="minorEastAsia" w:hint="eastAsia"/>
          <w:lang w:eastAsia="ja-JP"/>
        </w:rPr>
        <w:t xml:space="preserve"> important information on carrier transport in a wide range of materials, when the charge carrier scattering time lies around 10</w:t>
      </w:r>
      <w:r w:rsidR="00A11EE7" w:rsidRPr="00A11EE7">
        <w:rPr>
          <w:rFonts w:eastAsiaTheme="minorEastAsia" w:hint="eastAsia"/>
          <w:vertAlign w:val="superscript"/>
          <w:lang w:eastAsia="ja-JP"/>
        </w:rPr>
        <w:t>-14</w:t>
      </w:r>
      <w:r w:rsidR="00A11EE7">
        <w:rPr>
          <w:rFonts w:eastAsiaTheme="minorEastAsia" w:hint="eastAsia"/>
          <w:lang w:eastAsia="ja-JP"/>
        </w:rPr>
        <w:t xml:space="preserve"> </w:t>
      </w:r>
      <w:r w:rsidR="00A11EE7">
        <w:rPr>
          <w:rFonts w:eastAsiaTheme="minorEastAsia"/>
          <w:lang w:eastAsia="ja-JP"/>
        </w:rPr>
        <w:t>–</w:t>
      </w:r>
      <w:r w:rsidR="00A11EE7">
        <w:rPr>
          <w:rFonts w:eastAsiaTheme="minorEastAsia" w:hint="eastAsia"/>
          <w:lang w:eastAsia="ja-JP"/>
        </w:rPr>
        <w:t xml:space="preserve"> 10</w:t>
      </w:r>
      <w:r w:rsidR="00A11EE7" w:rsidRPr="00A11EE7">
        <w:rPr>
          <w:rFonts w:eastAsiaTheme="minorEastAsia" w:hint="eastAsia"/>
          <w:vertAlign w:val="superscript"/>
          <w:lang w:eastAsia="ja-JP"/>
        </w:rPr>
        <w:t>-13</w:t>
      </w:r>
      <w:r w:rsidR="00A11EE7">
        <w:rPr>
          <w:rFonts w:eastAsiaTheme="minorEastAsia" w:hint="eastAsia"/>
          <w:lang w:eastAsia="ja-JP"/>
        </w:rPr>
        <w:t xml:space="preserve"> s </w:t>
      </w:r>
      <w:r w:rsidR="00A11EE7" w:rsidRPr="00F437F6">
        <w:rPr>
          <w:rFonts w:eastAsiaTheme="minorEastAsia" w:hint="eastAsia"/>
          <w:highlight w:val="yellow"/>
          <w:lang w:eastAsia="ja-JP"/>
        </w:rPr>
        <w:t>[1</w:t>
      </w:r>
      <w:proofErr w:type="gramStart"/>
      <w:r w:rsidR="00F437F6" w:rsidRPr="00F437F6">
        <w:rPr>
          <w:rFonts w:eastAsiaTheme="minorEastAsia"/>
          <w:highlight w:val="yellow"/>
          <w:lang w:eastAsia="ja-JP"/>
        </w:rPr>
        <w:t>],[</w:t>
      </w:r>
      <w:proofErr w:type="gramEnd"/>
      <w:r w:rsidR="00A11EE7" w:rsidRPr="00F437F6">
        <w:rPr>
          <w:rFonts w:eastAsiaTheme="minorEastAsia" w:hint="eastAsia"/>
          <w:highlight w:val="yellow"/>
          <w:lang w:eastAsia="ja-JP"/>
        </w:rPr>
        <w:t>2]</w:t>
      </w:r>
      <w:r w:rsidR="00A11EE7">
        <w:rPr>
          <w:rFonts w:eastAsiaTheme="minorEastAsia" w:hint="eastAsia"/>
          <w:lang w:eastAsia="ja-JP"/>
        </w:rPr>
        <w:t>. In this frequency range</w:t>
      </w:r>
      <w:r w:rsidR="00A74A75">
        <w:rPr>
          <w:rFonts w:eastAsiaTheme="minorEastAsia" w:hint="eastAsia"/>
          <w:lang w:eastAsia="ja-JP"/>
        </w:rPr>
        <w:t xml:space="preserve">, the most prominent </w:t>
      </w:r>
      <w:r w:rsidR="00A74A75">
        <w:rPr>
          <w:rFonts w:eastAsiaTheme="minorEastAsia" w:hint="eastAsia"/>
          <w:lang w:eastAsia="ja-JP"/>
        </w:rPr>
        <w:t xml:space="preserve">change in the frequency-dependent complex conductivity is expected to </w:t>
      </w:r>
      <w:r w:rsidR="00CF2CC0">
        <w:rPr>
          <w:rFonts w:eastAsiaTheme="minorEastAsia"/>
          <w:lang w:eastAsia="ja-JP"/>
        </w:rPr>
        <w:t xml:space="preserve">occur. </w:t>
      </w:r>
      <w:r w:rsidR="00A74A75">
        <w:rPr>
          <w:rFonts w:eastAsiaTheme="minorEastAsia" w:hint="eastAsia"/>
          <w:lang w:eastAsia="ja-JP"/>
        </w:rPr>
        <w:t xml:space="preserve"> </w:t>
      </w:r>
    </w:p>
    <w:p w:rsidR="00985ED5" w:rsidRPr="00B54E6C" w:rsidRDefault="00CF2CC0" w:rsidP="00B54E6C">
      <w:pPr>
        <w:ind w:firstLine="284"/>
        <w:rPr>
          <w:lang w:eastAsia="en-US"/>
        </w:rPr>
        <w:sectPr w:rsidR="00985ED5" w:rsidRPr="00B54E6C" w:rsidSect="00985ED5">
          <w:type w:val="continuous"/>
          <w:pgSz w:w="11913" w:h="16834" w:code="9"/>
          <w:pgMar w:top="994" w:right="994" w:bottom="994" w:left="994" w:header="851" w:footer="567" w:gutter="0"/>
          <w:cols w:num="2" w:space="397"/>
          <w:noEndnote/>
          <w:titlePg/>
          <w:docGrid w:linePitch="326"/>
        </w:sectPr>
      </w:pPr>
      <w:r>
        <w:rPr>
          <w:lang w:eastAsia="en-US"/>
        </w:rPr>
        <w:t xml:space="preserve">Free carriers follow the </w:t>
      </w:r>
      <w:proofErr w:type="spellStart"/>
      <w:r>
        <w:rPr>
          <w:lang w:eastAsia="en-US"/>
        </w:rPr>
        <w:t>Drude</w:t>
      </w:r>
      <w:proofErr w:type="spellEnd"/>
      <w:r>
        <w:rPr>
          <w:lang w:eastAsia="en-US"/>
        </w:rPr>
        <w:t xml:space="preserve"> law if the medium is homogeneous </w:t>
      </w:r>
      <w:r w:rsidRPr="00F437F6">
        <w:rPr>
          <w:highlight w:val="yellow"/>
          <w:lang w:eastAsia="en-US"/>
        </w:rPr>
        <w:t>[3]</w:t>
      </w:r>
      <w:r>
        <w:rPr>
          <w:lang w:eastAsia="en-US"/>
        </w:rPr>
        <w:t xml:space="preserve">. </w:t>
      </w:r>
      <w:r w:rsidR="00E22F4B">
        <w:rPr>
          <w:lang w:eastAsia="en-US"/>
        </w:rPr>
        <w:t xml:space="preserve">It is of interest to know what happen in inhomogeneous media. It is known that </w:t>
      </w:r>
      <w:r w:rsidR="00CF7701">
        <w:rPr>
          <w:lang w:eastAsia="en-US"/>
        </w:rPr>
        <w:t xml:space="preserve">a deviation from </w:t>
      </w:r>
      <w:proofErr w:type="spellStart"/>
      <w:r w:rsidR="00CF7701">
        <w:rPr>
          <w:lang w:eastAsia="en-US"/>
        </w:rPr>
        <w:t>Drude</w:t>
      </w:r>
      <w:proofErr w:type="spellEnd"/>
      <w:r w:rsidR="00CF7701">
        <w:rPr>
          <w:lang w:eastAsia="en-US"/>
        </w:rPr>
        <w:t xml:space="preserve"> behavior </w:t>
      </w:r>
      <w:r w:rsidR="00E22F4B">
        <w:rPr>
          <w:lang w:eastAsia="en-US"/>
        </w:rPr>
        <w:t xml:space="preserve">is observed in </w:t>
      </w:r>
      <w:r w:rsidR="00E61112">
        <w:rPr>
          <w:lang w:eastAsia="en-US"/>
        </w:rPr>
        <w:t>most</w:t>
      </w:r>
      <w:r w:rsidR="00B54E6C">
        <w:rPr>
          <w:lang w:eastAsia="en-US"/>
        </w:rPr>
        <w:t xml:space="preserve"> </w:t>
      </w:r>
      <w:r w:rsidR="00CF7701">
        <w:rPr>
          <w:lang w:eastAsia="en-US"/>
        </w:rPr>
        <w:t>electronically</w:t>
      </w:r>
      <w:r w:rsidR="00E22F4B">
        <w:rPr>
          <w:lang w:eastAsia="en-US"/>
        </w:rPr>
        <w:t xml:space="preserve"> conductive nanostructured materials, such as metals </w:t>
      </w:r>
      <w:r w:rsidR="00E22F4B" w:rsidRPr="00F437F6">
        <w:rPr>
          <w:highlight w:val="yellow"/>
          <w:lang w:eastAsia="en-US"/>
        </w:rPr>
        <w:t>[4</w:t>
      </w:r>
      <w:r w:rsidR="00F437F6" w:rsidRPr="00F437F6">
        <w:rPr>
          <w:highlight w:val="yellow"/>
          <w:lang w:eastAsia="en-US"/>
        </w:rPr>
        <w:t>]</w:t>
      </w:r>
      <w:r w:rsidR="00E22F4B" w:rsidRPr="00F437F6">
        <w:rPr>
          <w:highlight w:val="yellow"/>
          <w:lang w:eastAsia="en-US"/>
        </w:rPr>
        <w:t>-</w:t>
      </w:r>
      <w:r w:rsidR="00F437F6" w:rsidRPr="00F437F6">
        <w:rPr>
          <w:highlight w:val="yellow"/>
          <w:lang w:eastAsia="en-US"/>
        </w:rPr>
        <w:t>[</w:t>
      </w:r>
      <w:r w:rsidR="00E22F4B" w:rsidRPr="00F437F6">
        <w:rPr>
          <w:highlight w:val="yellow"/>
          <w:lang w:eastAsia="en-US"/>
        </w:rPr>
        <w:t>6]</w:t>
      </w:r>
      <w:r w:rsidR="00E22F4B">
        <w:rPr>
          <w:lang w:eastAsia="en-US"/>
        </w:rPr>
        <w:t xml:space="preserve">, semiconductors </w:t>
      </w:r>
      <w:r w:rsidR="00E22F4B" w:rsidRPr="00F437F6">
        <w:rPr>
          <w:highlight w:val="yellow"/>
          <w:lang w:eastAsia="en-US"/>
        </w:rPr>
        <w:t>[7</w:t>
      </w:r>
      <w:r w:rsidR="00F437F6" w:rsidRPr="00F437F6">
        <w:rPr>
          <w:highlight w:val="yellow"/>
          <w:lang w:eastAsia="en-US"/>
        </w:rPr>
        <w:t>]</w:t>
      </w:r>
      <w:r w:rsidR="00E22F4B" w:rsidRPr="00F437F6">
        <w:rPr>
          <w:highlight w:val="yellow"/>
          <w:lang w:eastAsia="en-US"/>
        </w:rPr>
        <w:t>-</w:t>
      </w:r>
      <w:r w:rsidR="00F437F6" w:rsidRPr="00F437F6">
        <w:rPr>
          <w:highlight w:val="yellow"/>
          <w:lang w:eastAsia="en-US"/>
        </w:rPr>
        <w:t>[</w:t>
      </w:r>
      <w:r w:rsidR="00E22F4B" w:rsidRPr="00F437F6">
        <w:rPr>
          <w:color w:val="auto"/>
          <w:highlight w:val="yellow"/>
          <w:lang w:eastAsia="en-US"/>
        </w:rPr>
        <w:t>1</w:t>
      </w:r>
      <w:r w:rsidR="00A44050" w:rsidRPr="00F437F6">
        <w:rPr>
          <w:rFonts w:eastAsiaTheme="minorEastAsia" w:hint="eastAsia"/>
          <w:color w:val="auto"/>
          <w:highlight w:val="yellow"/>
          <w:lang w:eastAsia="ja-JP"/>
        </w:rPr>
        <w:t>6</w:t>
      </w:r>
      <w:r w:rsidR="00E22F4B" w:rsidRPr="00F437F6">
        <w:rPr>
          <w:highlight w:val="yellow"/>
          <w:lang w:eastAsia="en-US"/>
        </w:rPr>
        <w:t>]</w:t>
      </w:r>
      <w:r w:rsidR="00E22F4B">
        <w:rPr>
          <w:lang w:eastAsia="en-US"/>
        </w:rPr>
        <w:t xml:space="preserve">, and oxides </w:t>
      </w:r>
      <w:r w:rsidR="00E22F4B" w:rsidRPr="00F437F6">
        <w:rPr>
          <w:highlight w:val="yellow"/>
          <w:lang w:eastAsia="en-US"/>
        </w:rPr>
        <w:t>[</w:t>
      </w:r>
      <w:r w:rsidR="00E22F4B" w:rsidRPr="00F437F6">
        <w:rPr>
          <w:color w:val="auto"/>
          <w:highlight w:val="yellow"/>
          <w:lang w:eastAsia="en-US"/>
        </w:rPr>
        <w:t>1</w:t>
      </w:r>
      <w:r w:rsidR="00A44050" w:rsidRPr="00F437F6">
        <w:rPr>
          <w:rFonts w:eastAsiaTheme="minorEastAsia" w:hint="eastAsia"/>
          <w:color w:val="auto"/>
          <w:highlight w:val="yellow"/>
          <w:lang w:eastAsia="ja-JP"/>
        </w:rPr>
        <w:t>7</w:t>
      </w:r>
      <w:r w:rsidR="00F437F6" w:rsidRPr="00F437F6">
        <w:rPr>
          <w:rFonts w:eastAsiaTheme="minorEastAsia"/>
          <w:color w:val="auto"/>
          <w:highlight w:val="yellow"/>
          <w:lang w:eastAsia="ja-JP"/>
        </w:rPr>
        <w:t>]</w:t>
      </w:r>
      <w:r w:rsidR="00E22F4B" w:rsidRPr="00F437F6">
        <w:rPr>
          <w:color w:val="auto"/>
          <w:highlight w:val="yellow"/>
          <w:lang w:eastAsia="en-US"/>
        </w:rPr>
        <w:t>-</w:t>
      </w:r>
      <w:r w:rsidR="00F437F6" w:rsidRPr="00F437F6">
        <w:rPr>
          <w:color w:val="auto"/>
          <w:highlight w:val="yellow"/>
          <w:lang w:eastAsia="en-US"/>
        </w:rPr>
        <w:t>[</w:t>
      </w:r>
      <w:r w:rsidR="00E22F4B" w:rsidRPr="00F437F6">
        <w:rPr>
          <w:color w:val="auto"/>
          <w:highlight w:val="yellow"/>
          <w:lang w:eastAsia="en-US"/>
        </w:rPr>
        <w:t>1</w:t>
      </w:r>
      <w:r w:rsidR="00501596" w:rsidRPr="00F437F6">
        <w:rPr>
          <w:rFonts w:eastAsiaTheme="minorEastAsia" w:hint="eastAsia"/>
          <w:color w:val="auto"/>
          <w:highlight w:val="yellow"/>
          <w:lang w:eastAsia="ja-JP"/>
        </w:rPr>
        <w:t>9</w:t>
      </w:r>
      <w:r w:rsidR="00E22F4B" w:rsidRPr="00F437F6">
        <w:rPr>
          <w:highlight w:val="yellow"/>
          <w:lang w:eastAsia="en-US"/>
        </w:rPr>
        <w:t>]</w:t>
      </w:r>
      <w:r w:rsidR="00F437F6" w:rsidRPr="00F437F6">
        <w:rPr>
          <w:highlight w:val="yellow"/>
          <w:lang w:eastAsia="en-US"/>
        </w:rPr>
        <w:t>.</w:t>
      </w:r>
    </w:p>
    <w:p w:rsidR="003F1BC7" w:rsidRDefault="00A871D9" w:rsidP="00F437F6">
      <w:pPr>
        <w:rPr>
          <w:lang w:eastAsia="en-US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121.45pt;margin-top:11.15pt;width:263.7pt;height:184.2pt;z-index:251689984;mso-position-horizontal-relative:text;mso-position-vertical-relative:text">
            <v:imagedata r:id="rId11" o:title=""/>
            <w10:wrap type="square"/>
          </v:shape>
          <o:OLEObject Type="Embed" ProgID="Origin50.Graph" ShapeID="_x0000_s1049" DrawAspect="Content" ObjectID="_1585050376" r:id="rId12"/>
        </w:object>
      </w: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3F1BC7" w:rsidRDefault="003F1BC7" w:rsidP="00481AD1">
      <w:pPr>
        <w:ind w:firstLine="284"/>
        <w:rPr>
          <w:lang w:eastAsia="en-US"/>
        </w:rPr>
      </w:pPr>
    </w:p>
    <w:p w:rsidR="00B54E6C" w:rsidRDefault="00B54E6C" w:rsidP="00B54E6C">
      <w:pPr>
        <w:rPr>
          <w:b/>
          <w:lang w:eastAsia="en-US"/>
        </w:rPr>
      </w:pPr>
    </w:p>
    <w:p w:rsidR="00B54E6C" w:rsidRDefault="00B54E6C" w:rsidP="00F437F6">
      <w:pPr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  <w:bookmarkStart w:id="1" w:name="_GoBack"/>
      <w:bookmarkEnd w:id="1"/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781A51">
      <w:pPr>
        <w:ind w:left="704"/>
        <w:rPr>
          <w:b/>
          <w:lang w:eastAsia="en-US"/>
        </w:rPr>
      </w:pPr>
    </w:p>
    <w:p w:rsidR="00B54E6C" w:rsidRDefault="00B54E6C" w:rsidP="00B54E6C">
      <w:pPr>
        <w:rPr>
          <w:b/>
          <w:lang w:eastAsia="en-US"/>
        </w:rPr>
        <w:sectPr w:rsidR="00B54E6C" w:rsidSect="00985ED5">
          <w:type w:val="continuous"/>
          <w:pgSz w:w="11913" w:h="16834" w:code="9"/>
          <w:pgMar w:top="994" w:right="994" w:bottom="994" w:left="994" w:header="851" w:footer="567" w:gutter="0"/>
          <w:cols w:num="2" w:space="397"/>
          <w:noEndnote/>
          <w:titlePg/>
          <w:docGrid w:linePitch="326"/>
        </w:sectPr>
      </w:pPr>
    </w:p>
    <w:p w:rsidR="00061347" w:rsidRDefault="00C80FC8" w:rsidP="00B54E6C">
      <w:pPr>
        <w:jc w:val="center"/>
        <w:rPr>
          <w:rFonts w:eastAsiaTheme="minorEastAsia"/>
          <w:lang w:eastAsia="ja-JP"/>
        </w:rPr>
      </w:pPr>
      <w:r w:rsidRPr="00F437F6">
        <w:rPr>
          <w:b/>
          <w:highlight w:val="yellow"/>
          <w:lang w:eastAsia="en-US"/>
        </w:rPr>
        <w:t>Fig</w:t>
      </w:r>
      <w:r w:rsidR="007B0F01" w:rsidRPr="00F437F6">
        <w:rPr>
          <w:b/>
          <w:highlight w:val="yellow"/>
          <w:lang w:eastAsia="en-US"/>
        </w:rPr>
        <w:t xml:space="preserve">. </w:t>
      </w:r>
      <w:proofErr w:type="gramStart"/>
      <w:r w:rsidRPr="00F437F6">
        <w:rPr>
          <w:b/>
          <w:highlight w:val="yellow"/>
          <w:lang w:eastAsia="en-US"/>
        </w:rPr>
        <w:t>1</w:t>
      </w:r>
      <w:r w:rsidR="00880132">
        <w:rPr>
          <w:b/>
          <w:lang w:eastAsia="en-US"/>
        </w:rPr>
        <w:t xml:space="preserve"> </w:t>
      </w:r>
      <w:r w:rsidR="007B0F01">
        <w:rPr>
          <w:b/>
          <w:lang w:eastAsia="en-US"/>
        </w:rPr>
        <w:t xml:space="preserve"> </w:t>
      </w:r>
      <w:r w:rsidR="00880132" w:rsidRPr="00880132">
        <w:rPr>
          <w:lang w:eastAsia="en-US"/>
        </w:rPr>
        <w:t>Optical</w:t>
      </w:r>
      <w:proofErr w:type="gramEnd"/>
      <w:r w:rsidR="00880132">
        <w:rPr>
          <w:lang w:eastAsia="en-US"/>
        </w:rPr>
        <w:t xml:space="preserve"> conductivity in the </w:t>
      </w:r>
      <w:proofErr w:type="spellStart"/>
      <w:r w:rsidR="00880132">
        <w:rPr>
          <w:lang w:eastAsia="en-US"/>
        </w:rPr>
        <w:t>Drude</w:t>
      </w:r>
      <w:proofErr w:type="spellEnd"/>
      <w:r w:rsidR="00880132">
        <w:rPr>
          <w:lang w:eastAsia="en-US"/>
        </w:rPr>
        <w:t xml:space="preserve"> relaxation [(a) and (b)] and in the Lorentz</w:t>
      </w:r>
    </w:p>
    <w:p w:rsidR="00B54E6C" w:rsidRDefault="00B54E6C" w:rsidP="00781A51">
      <w:pPr>
        <w:ind w:left="704"/>
        <w:rPr>
          <w:lang w:eastAsia="en-US"/>
        </w:rPr>
        <w:sectPr w:rsidR="00B54E6C" w:rsidSect="00B54E6C">
          <w:type w:val="continuous"/>
          <w:pgSz w:w="11913" w:h="16834" w:code="9"/>
          <w:pgMar w:top="994" w:right="994" w:bottom="994" w:left="994" w:header="851" w:footer="567" w:gutter="0"/>
          <w:cols w:space="397"/>
          <w:noEndnote/>
          <w:titlePg/>
          <w:docGrid w:linePitch="326"/>
        </w:sectPr>
      </w:pPr>
    </w:p>
    <w:p w:rsidR="00C80FC8" w:rsidRPr="00880132" w:rsidRDefault="00880132" w:rsidP="00781A51">
      <w:pPr>
        <w:ind w:left="704"/>
        <w:rPr>
          <w:b/>
          <w:lang w:eastAsia="en-US"/>
        </w:rPr>
      </w:pPr>
      <w:r>
        <w:rPr>
          <w:lang w:eastAsia="en-US"/>
        </w:rPr>
        <w:t>resonance [(c) and (d)].</w:t>
      </w:r>
    </w:p>
    <w:p w:rsidR="00C80FC8" w:rsidRPr="007B0F01" w:rsidRDefault="007B0F01" w:rsidP="00481AD1">
      <w:pPr>
        <w:ind w:firstLine="284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 </w:t>
      </w:r>
    </w:p>
    <w:p w:rsidR="00985ED5" w:rsidRDefault="00985ED5" w:rsidP="00B54E6C">
      <w:pPr>
        <w:widowControl w:val="0"/>
        <w:spacing w:before="120" w:after="120"/>
        <w:jc w:val="center"/>
        <w:rPr>
          <w:rFonts w:ascii="Cambria Math" w:eastAsiaTheme="minorEastAsia" w:hAnsi="Cambria Math"/>
          <w:lang w:eastAsia="ja-JP"/>
          <w:oMath/>
        </w:rPr>
        <w:sectPr w:rsidR="00985ED5" w:rsidSect="00985ED5">
          <w:type w:val="continuous"/>
          <w:pgSz w:w="11913" w:h="16834" w:code="9"/>
          <w:pgMar w:top="994" w:right="994" w:bottom="994" w:left="994" w:header="851" w:footer="567" w:gutter="0"/>
          <w:cols w:num="2" w:space="397"/>
          <w:noEndnote/>
          <w:titlePg/>
          <w:docGrid w:linePitch="326"/>
        </w:sectPr>
      </w:pPr>
    </w:p>
    <w:tbl>
      <w:tblPr>
        <w:tblpPr w:leftFromText="142" w:rightFromText="142" w:vertAnchor="text" w:horzAnchor="margin" w:tblpY="205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4"/>
        <w:gridCol w:w="490"/>
      </w:tblGrid>
      <w:tr w:rsidR="00986CAF" w:rsidTr="00986CAF">
        <w:tc>
          <w:tcPr>
            <w:tcW w:w="9422" w:type="dxa"/>
            <w:hideMark/>
          </w:tcPr>
          <w:p w:rsidR="00986CAF" w:rsidRDefault="00A871D9" w:rsidP="00B54E6C">
            <w:pPr>
              <w:widowControl w:val="0"/>
              <w:spacing w:before="120" w:after="120"/>
              <w:ind w:left="15" w:hanging="15"/>
              <w:jc w:val="center"/>
              <w:rPr>
                <w:snapToGrid w:val="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lang w:eastAsia="ja-JP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  <w:sym w:font="Symbol" w:char="F073"/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*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  <w:sym w:font="Symbol" w:char="F077"/>
                    </m:r>
                  </m:e>
                </m:d>
                <m:r>
                  <w:rPr>
                    <w:rFonts w:ascii="Cambria Math" w:eastAsiaTheme="minorEastAsia" w:hAnsi="Cambria Math"/>
                    <w:lang w:eastAsia="ja-JP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  <w:sym w:font="Symbol" w:char="F073"/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eastAsia="ja-JP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eastAsia="ja-JP"/>
                          </w:rPr>
                          <m:t>0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1-i</m:t>
                    </m:r>
                    <m: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  <w:sym w:font="Symbol" w:char="F077"/>
                    </m:r>
                    <m: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  <w:sym w:font="Symbol" w:char="F074"/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1+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lang w:eastAsia="ja-JP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eastAsia="ja-JP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i/>
                            <w:lang w:eastAsia="ja-JP"/>
                          </w:rPr>
                          <w:sym w:font="Symbol" w:char="F0A5"/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eastAsia="ja-JP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eastAsia="ja-JP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eastAsia="ja-JP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lang w:eastAsia="ja-JP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eastAsia="ja-JP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eastAsia="ja-JP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eastAsia="ja-JP"/>
                                      </w:rPr>
                                      <m:t>1-i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i/>
                                        <w:lang w:eastAsia="ja-JP"/>
                                      </w:rPr>
                                      <w:sym w:font="Symbol" w:char="F077"/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i/>
                                        <w:lang w:eastAsia="ja-JP"/>
                                      </w:rPr>
                                      <w:sym w:font="Symbol" w:char="F074"/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eastAsia="ja-JP"/>
                                  </w:rPr>
                                  <m:t>n</m:t>
                                </m:r>
                              </m:sup>
                            </m:sSup>
                          </m:den>
                        </m:f>
                      </m:e>
                    </m:nary>
                  </m:e>
                </m:d>
              </m:oMath>
            </m:oMathPara>
          </w:p>
        </w:tc>
        <w:tc>
          <w:tcPr>
            <w:tcW w:w="643" w:type="dxa"/>
            <w:vAlign w:val="center"/>
            <w:hideMark/>
          </w:tcPr>
          <w:p w:rsidR="00986CAF" w:rsidRDefault="00986CAF" w:rsidP="00986CAF">
            <w:pPr>
              <w:widowControl w:val="0"/>
              <w:spacing w:before="120" w:after="120"/>
              <w:jc w:val="right"/>
              <w:rPr>
                <w:snapToGrid w:val="0"/>
              </w:rPr>
            </w:pPr>
            <w:r>
              <w:t xml:space="preserve">(1) </w:t>
            </w:r>
          </w:p>
        </w:tc>
      </w:tr>
    </w:tbl>
    <w:p w:rsidR="00985ED5" w:rsidRDefault="00985ED5" w:rsidP="006E7CAB">
      <w:pPr>
        <w:rPr>
          <w:rFonts w:eastAsiaTheme="minorEastAsia"/>
          <w:lang w:eastAsia="ja-JP"/>
        </w:rPr>
        <w:sectPr w:rsidR="00985ED5" w:rsidSect="00B54E6C">
          <w:type w:val="continuous"/>
          <w:pgSz w:w="11913" w:h="16834" w:code="9"/>
          <w:pgMar w:top="994" w:right="994" w:bottom="994" w:left="994" w:header="851" w:footer="567" w:gutter="0"/>
          <w:cols w:num="2" w:space="397"/>
          <w:noEndnote/>
          <w:titlePg/>
          <w:docGrid w:linePitch="326"/>
        </w:sectPr>
      </w:pPr>
    </w:p>
    <w:p w:rsidR="007670B3" w:rsidRPr="00B54E6C" w:rsidRDefault="006E7CAB" w:rsidP="00B54E6C">
      <w:pPr>
        <w:rPr>
          <w:color w:val="auto"/>
          <w:lang w:eastAsia="en-US"/>
        </w:rPr>
      </w:pPr>
      <w:r>
        <w:rPr>
          <w:rFonts w:eastAsiaTheme="minorEastAsia" w:hint="eastAsia"/>
          <w:lang w:eastAsia="ja-JP"/>
        </w:rPr>
        <w:t xml:space="preserve">where  </w:t>
      </w:r>
      <w:r w:rsidRPr="006E7CAB">
        <w:rPr>
          <w:rFonts w:eastAsiaTheme="minorEastAsia" w:hint="eastAsia"/>
          <w:i/>
          <w:lang w:eastAsia="ja-JP"/>
        </w:rPr>
        <w:sym w:font="Symbol" w:char="F073"/>
      </w:r>
      <w:r>
        <w:rPr>
          <w:rFonts w:eastAsiaTheme="minorEastAsia" w:hint="eastAsia"/>
          <w:lang w:eastAsia="ja-JP"/>
        </w:rPr>
        <w:t>(0) is the Boltzmann dc conductivity given by e</w:t>
      </w:r>
      <w:r w:rsidRPr="006E7CAB">
        <w:rPr>
          <w:rFonts w:eastAsiaTheme="minorEastAsia" w:hint="eastAsia"/>
          <w:vertAlign w:val="superscript"/>
          <w:lang w:eastAsia="ja-JP"/>
        </w:rPr>
        <w:t>2</w:t>
      </w:r>
      <w:r w:rsidRPr="006E7CAB">
        <w:rPr>
          <w:rFonts w:eastAsiaTheme="minorEastAsia" w:hint="eastAsia"/>
          <w:i/>
          <w:lang w:eastAsia="ja-JP"/>
        </w:rPr>
        <w:t>n</w:t>
      </w:r>
      <w:r w:rsidRPr="006E7CAB">
        <w:rPr>
          <w:rFonts w:eastAsiaTheme="minorEastAsia" w:hint="eastAsia"/>
          <w:vertAlign w:val="subscript"/>
          <w:lang w:eastAsia="ja-JP"/>
        </w:rPr>
        <w:t>f</w:t>
      </w:r>
      <w:r w:rsidRPr="006E7CAB">
        <w:rPr>
          <w:rFonts w:eastAsiaTheme="minorEastAsia" w:hint="eastAsia"/>
          <w:i/>
          <w:lang w:eastAsia="ja-JP"/>
        </w:rPr>
        <w:sym w:font="Symbol" w:char="F074"/>
      </w:r>
      <w:r>
        <w:rPr>
          <w:rFonts w:eastAsiaTheme="minorEastAsia" w:hint="eastAsia"/>
          <w:lang w:eastAsia="ja-JP"/>
        </w:rPr>
        <w:t>/</w:t>
      </w:r>
      <w:r w:rsidRPr="006E7CAB">
        <w:rPr>
          <w:rFonts w:eastAsiaTheme="minorEastAsia" w:hint="eastAsia"/>
          <w:i/>
          <w:lang w:eastAsia="ja-JP"/>
        </w:rPr>
        <w:t>m</w:t>
      </w:r>
      <w:r w:rsidR="008B59E2">
        <w:rPr>
          <w:rFonts w:eastAsiaTheme="minorEastAsia" w:hint="eastAsia"/>
          <w:lang w:eastAsia="ja-JP"/>
        </w:rPr>
        <w:t>*</w:t>
      </w:r>
      <w:proofErr w:type="gramStart"/>
      <w:r w:rsidR="008B59E2">
        <w:rPr>
          <w:rFonts w:eastAsiaTheme="minorEastAsia" w:hint="eastAsia"/>
          <w:lang w:eastAsia="ja-JP"/>
        </w:rPr>
        <w:t>,</w:t>
      </w:r>
      <w:r>
        <w:rPr>
          <w:rFonts w:eastAsiaTheme="minorEastAsia" w:hint="eastAsia"/>
          <w:lang w:eastAsia="ja-JP"/>
        </w:rPr>
        <w:t xml:space="preserve">  </w:t>
      </w:r>
      <w:proofErr w:type="spellStart"/>
      <w:r w:rsidRPr="00BD3ADF">
        <w:rPr>
          <w:rFonts w:eastAsiaTheme="minorEastAsia" w:hint="eastAsia"/>
          <w:i/>
          <w:lang w:eastAsia="ja-JP"/>
        </w:rPr>
        <w:t>n</w:t>
      </w:r>
      <w:r w:rsidRPr="00BD3ADF">
        <w:rPr>
          <w:rFonts w:eastAsiaTheme="minorEastAsia" w:hint="eastAsia"/>
          <w:vertAlign w:val="subscript"/>
          <w:lang w:eastAsia="ja-JP"/>
        </w:rPr>
        <w:t>f</w:t>
      </w:r>
      <w:proofErr w:type="spellEnd"/>
      <w:proofErr w:type="gramEnd"/>
      <w:r>
        <w:rPr>
          <w:rFonts w:eastAsiaTheme="minorEastAsia" w:hint="eastAsia"/>
          <w:lang w:eastAsia="ja-JP"/>
        </w:rPr>
        <w:t xml:space="preserve"> is the density of free carrier, </w:t>
      </w:r>
      <w:r w:rsidRPr="00BD3ADF">
        <w:rPr>
          <w:rFonts w:eastAsiaTheme="minorEastAsia" w:hint="eastAsia"/>
          <w:i/>
          <w:lang w:eastAsia="ja-JP"/>
        </w:rPr>
        <w:t>m</w:t>
      </w:r>
      <w:r w:rsidR="006053BD">
        <w:rPr>
          <w:rFonts w:eastAsiaTheme="minorEastAsia" w:hint="eastAsia"/>
          <w:lang w:eastAsia="ja-JP"/>
        </w:rPr>
        <w:t>*</w:t>
      </w:r>
      <w:r w:rsidR="007E0CB5">
        <w:rPr>
          <w:rFonts w:eastAsiaTheme="minorEastAsia" w:hint="eastAsia"/>
          <w:i/>
          <w:lang w:eastAsia="ja-JP"/>
        </w:rPr>
        <w:t xml:space="preserve"> </w:t>
      </w:r>
      <w:r>
        <w:rPr>
          <w:rFonts w:eastAsiaTheme="minorEastAsia" w:hint="eastAsia"/>
          <w:lang w:eastAsia="ja-JP"/>
        </w:rPr>
        <w:t xml:space="preserve">the effective mass, </w:t>
      </w:r>
      <w:r w:rsidRPr="00BD3ADF">
        <w:rPr>
          <w:rFonts w:eastAsiaTheme="minorEastAsia" w:hint="eastAsia"/>
          <w:i/>
          <w:lang w:eastAsia="ja-JP"/>
        </w:rPr>
        <w:sym w:font="Symbol" w:char="F074"/>
      </w:r>
      <w:r>
        <w:rPr>
          <w:rFonts w:eastAsiaTheme="minorEastAsia" w:hint="eastAsia"/>
          <w:lang w:eastAsia="ja-JP"/>
        </w:rPr>
        <w:t xml:space="preserve"> the scattering time, and </w:t>
      </w:r>
      <w:r w:rsidRPr="00BD3ADF">
        <w:rPr>
          <w:rFonts w:eastAsiaTheme="minorEastAsia" w:hint="eastAsia"/>
          <w:i/>
          <w:lang w:eastAsia="ja-JP"/>
        </w:rPr>
        <w:sym w:font="Symbol" w:char="F077"/>
      </w:r>
      <w:r>
        <w:rPr>
          <w:rFonts w:eastAsiaTheme="minorEastAsia" w:hint="eastAsia"/>
          <w:lang w:eastAsia="ja-JP"/>
        </w:rPr>
        <w:t xml:space="preserve"> the angular frequency of external excitation</w:t>
      </w:r>
      <w:r w:rsidR="00BD3ADF">
        <w:rPr>
          <w:rFonts w:eastAsiaTheme="minorEastAsia" w:hint="eastAsia"/>
          <w:lang w:eastAsia="ja-JP"/>
        </w:rPr>
        <w:t xml:space="preserve">, assumed to be </w:t>
      </w:r>
      <w:proofErr w:type="spellStart"/>
      <w:r w:rsidR="00BD3ADF">
        <w:rPr>
          <w:rFonts w:eastAsiaTheme="minorEastAsia" w:hint="eastAsia"/>
          <w:lang w:eastAsia="ja-JP"/>
        </w:rPr>
        <w:t>exp</w:t>
      </w:r>
      <w:proofErr w:type="spellEnd"/>
      <w:r w:rsidR="00BD3ADF">
        <w:rPr>
          <w:rFonts w:eastAsiaTheme="minorEastAsia" w:hint="eastAsia"/>
          <w:lang w:eastAsia="ja-JP"/>
        </w:rPr>
        <w:t>(-</w:t>
      </w:r>
      <w:proofErr w:type="spellStart"/>
      <w:r w:rsidR="00BD3ADF">
        <w:rPr>
          <w:rFonts w:eastAsiaTheme="minorEastAsia" w:hint="eastAsia"/>
          <w:lang w:eastAsia="ja-JP"/>
        </w:rPr>
        <w:t>i</w:t>
      </w:r>
      <w:proofErr w:type="spellEnd"/>
      <w:r w:rsidR="00BD3ADF" w:rsidRPr="00BD3ADF">
        <w:rPr>
          <w:rFonts w:eastAsiaTheme="minorEastAsia" w:hint="eastAsia"/>
          <w:i/>
          <w:lang w:eastAsia="ja-JP"/>
        </w:rPr>
        <w:sym w:font="Symbol" w:char="F077"/>
      </w:r>
      <w:r w:rsidR="00BD3ADF" w:rsidRPr="00BD3ADF">
        <w:rPr>
          <w:rFonts w:eastAsiaTheme="minorEastAsia" w:hint="eastAsia"/>
          <w:i/>
          <w:lang w:eastAsia="ja-JP"/>
        </w:rPr>
        <w:t>t</w:t>
      </w:r>
      <w:r w:rsidR="00BD3ADF">
        <w:rPr>
          <w:rFonts w:eastAsiaTheme="minorEastAsia" w:hint="eastAsia"/>
          <w:lang w:eastAsia="ja-JP"/>
        </w:rPr>
        <w:t xml:space="preserve">). </w:t>
      </w:r>
      <w:r>
        <w:rPr>
          <w:rFonts w:eastAsiaTheme="minorEastAsia" w:hint="eastAsia"/>
          <w:lang w:eastAsia="ja-JP"/>
        </w:rPr>
        <w:t xml:space="preserve"> </w:t>
      </w:r>
    </w:p>
    <w:p w:rsidR="007670B3" w:rsidRDefault="007670B3" w:rsidP="003325E2">
      <w:pPr>
        <w:ind w:firstLine="284"/>
        <w:rPr>
          <w:rFonts w:eastAsiaTheme="minorEastAsia"/>
          <w:lang w:eastAsia="ja-JP"/>
        </w:rPr>
      </w:pPr>
    </w:p>
    <w:p w:rsidR="007670B3" w:rsidRDefault="007670B3" w:rsidP="003325E2">
      <w:pPr>
        <w:ind w:firstLine="284"/>
        <w:rPr>
          <w:rFonts w:eastAsiaTheme="minorEastAsia"/>
          <w:lang w:eastAsia="ja-JP"/>
        </w:rPr>
      </w:pPr>
    </w:p>
    <w:p w:rsidR="00F437F6" w:rsidRDefault="00F437F6" w:rsidP="003325E2">
      <w:pPr>
        <w:ind w:firstLine="284"/>
        <w:rPr>
          <w:rFonts w:eastAsiaTheme="minorEastAsia"/>
          <w:lang w:eastAsia="ja-JP"/>
        </w:rPr>
      </w:pPr>
    </w:p>
    <w:p w:rsidR="00F437F6" w:rsidRDefault="00F437F6" w:rsidP="003325E2">
      <w:pPr>
        <w:ind w:firstLine="284"/>
        <w:rPr>
          <w:rFonts w:eastAsiaTheme="minorEastAsia"/>
          <w:lang w:eastAsia="ja-JP"/>
        </w:rPr>
      </w:pPr>
    </w:p>
    <w:p w:rsidR="00F437F6" w:rsidRDefault="00F437F6" w:rsidP="00F437F6">
      <w:pPr>
        <w:rPr>
          <w:rFonts w:eastAsiaTheme="minorEastAsia"/>
          <w:lang w:eastAsia="ja-JP"/>
        </w:rPr>
      </w:pPr>
    </w:p>
    <w:p w:rsidR="00F437F6" w:rsidRDefault="00F437F6" w:rsidP="00F437F6">
      <w:pPr>
        <w:rPr>
          <w:rFonts w:eastAsiaTheme="minorEastAsia"/>
          <w:szCs w:val="24"/>
          <w:lang w:eastAsia="ja-JP"/>
        </w:rPr>
      </w:pPr>
      <w:r w:rsidRPr="00F437F6">
        <w:rPr>
          <w:rFonts w:eastAsiaTheme="minorEastAsia"/>
          <w:b/>
          <w:szCs w:val="24"/>
          <w:highlight w:val="yellow"/>
          <w:lang w:eastAsia="ja-JP"/>
        </w:rPr>
        <w:t>Table 2.</w:t>
      </w:r>
      <w:r w:rsidRPr="00186B5D">
        <w:rPr>
          <w:rFonts w:eastAsiaTheme="minorEastAsia"/>
          <w:szCs w:val="24"/>
          <w:lang w:eastAsia="ja-JP"/>
        </w:rPr>
        <w:t xml:space="preserve"> Proposed CSSAL S-box chip feature summary</w:t>
      </w:r>
    </w:p>
    <w:p w:rsidR="00F437F6" w:rsidRPr="00186B5D" w:rsidRDefault="00F437F6" w:rsidP="00F437F6">
      <w:pPr>
        <w:rPr>
          <w:rFonts w:eastAsiaTheme="minorEastAsia"/>
          <w:szCs w:val="24"/>
          <w:lang w:eastAsia="ja-JP"/>
        </w:rPr>
      </w:pPr>
    </w:p>
    <w:tbl>
      <w:tblPr>
        <w:tblW w:w="4549" w:type="dxa"/>
        <w:tblLook w:val="04A0" w:firstRow="1" w:lastRow="0" w:firstColumn="1" w:lastColumn="0" w:noHBand="0" w:noVBand="1"/>
      </w:tblPr>
      <w:tblGrid>
        <w:gridCol w:w="1443"/>
        <w:gridCol w:w="3199"/>
      </w:tblGrid>
      <w:tr w:rsidR="00F437F6" w:rsidRPr="00C17468" w:rsidTr="00A95B2A">
        <w:trPr>
          <w:trHeight w:val="266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Application Area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smart-card, RF-ID tag, Cryptographic-circuits</w:t>
            </w:r>
          </w:p>
        </w:tc>
      </w:tr>
      <w:tr w:rsidR="00F437F6" w:rsidRPr="00C17468" w:rsidTr="00A95B2A">
        <w:trPr>
          <w:trHeight w:val="762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Feature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The peak current of the proposed chip is uniformly plotted which is resistive to DPA attacks</w:t>
            </w:r>
          </w:p>
        </w:tc>
      </w:tr>
      <w:tr w:rsidR="00F437F6" w:rsidRPr="00C17468" w:rsidTr="00A95B2A">
        <w:trPr>
          <w:trHeight w:val="254"/>
        </w:trPr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Performance</w:t>
            </w: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7F6" w:rsidRPr="00186B5D" w:rsidRDefault="00F437F6" w:rsidP="00F437F6">
            <w:pPr>
              <w:pStyle w:val="ListParagraph"/>
              <w:numPr>
                <w:ilvl w:val="0"/>
                <w:numId w:val="48"/>
              </w:numPr>
              <w:spacing w:line="240" w:lineRule="auto"/>
              <w:ind w:leftChars="0" w:left="346" w:hanging="346"/>
              <w:rPr>
                <w:szCs w:val="24"/>
                <w:lang w:eastAsia="en-US"/>
              </w:rPr>
            </w:pPr>
            <w:proofErr w:type="spellStart"/>
            <w:r w:rsidRPr="00186B5D">
              <w:rPr>
                <w:szCs w:val="24"/>
                <w:lang w:eastAsia="en-US"/>
              </w:rPr>
              <w:t>P</w:t>
            </w:r>
            <w:r w:rsidRPr="00186B5D">
              <w:rPr>
                <w:szCs w:val="24"/>
                <w:vertAlign w:val="subscript"/>
                <w:lang w:eastAsia="en-US"/>
              </w:rPr>
              <w:t>diss</w:t>
            </w:r>
            <w:proofErr w:type="spellEnd"/>
            <w:r w:rsidRPr="00186B5D">
              <w:rPr>
                <w:szCs w:val="24"/>
                <w:lang w:eastAsia="en-US"/>
              </w:rPr>
              <w:t xml:space="preserve">. CSSAL: 0.36 </w:t>
            </w:r>
            <w:proofErr w:type="spellStart"/>
            <w:r w:rsidRPr="00186B5D">
              <w:rPr>
                <w:szCs w:val="24"/>
                <w:lang w:eastAsia="en-US"/>
              </w:rPr>
              <w:t>mW</w:t>
            </w:r>
            <w:proofErr w:type="spellEnd"/>
            <w:r w:rsidRPr="00186B5D">
              <w:rPr>
                <w:szCs w:val="24"/>
                <w:lang w:eastAsia="en-US"/>
              </w:rPr>
              <w:t xml:space="preserve"> @ 125 kHz </w:t>
            </w:r>
          </w:p>
        </w:tc>
      </w:tr>
      <w:tr w:rsidR="00F437F6" w:rsidRPr="00C17468" w:rsidTr="00A95B2A">
        <w:trPr>
          <w:trHeight w:val="25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7F6" w:rsidRPr="00C17468" w:rsidRDefault="00F437F6" w:rsidP="00A95B2A">
            <w:pPr>
              <w:spacing w:line="240" w:lineRule="auto"/>
              <w:rPr>
                <w:szCs w:val="24"/>
                <w:lang w:eastAsia="en-US"/>
              </w:rPr>
            </w:pPr>
            <w:r w:rsidRPr="00C17468">
              <w:rPr>
                <w:szCs w:val="24"/>
                <w:lang w:eastAsia="en-US"/>
              </w:rPr>
              <w:t> 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7F6" w:rsidRPr="00186B5D" w:rsidRDefault="00F437F6" w:rsidP="00F437F6">
            <w:pPr>
              <w:pStyle w:val="ListParagraph"/>
              <w:numPr>
                <w:ilvl w:val="0"/>
                <w:numId w:val="47"/>
              </w:numPr>
              <w:spacing w:line="240" w:lineRule="auto"/>
              <w:ind w:leftChars="0" w:left="346" w:hanging="346"/>
              <w:rPr>
                <w:szCs w:val="24"/>
                <w:lang w:eastAsia="en-US"/>
              </w:rPr>
            </w:pPr>
            <w:r w:rsidRPr="00186B5D">
              <w:rPr>
                <w:szCs w:val="24"/>
                <w:lang w:eastAsia="en-US"/>
              </w:rPr>
              <w:t>LSI area: 758 (W) x 614 (H) µm</w:t>
            </w:r>
            <w:r w:rsidRPr="00186B5D">
              <w:rPr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267C33" w:rsidRDefault="00267C33" w:rsidP="007670B3">
      <w:pPr>
        <w:ind w:left="709" w:firstLine="709"/>
        <w:rPr>
          <w:rFonts w:eastAsiaTheme="minorEastAsia"/>
          <w:lang w:eastAsia="ja-JP"/>
        </w:rPr>
      </w:pPr>
    </w:p>
    <w:p w:rsidR="00A2424B" w:rsidRPr="00A2424B" w:rsidRDefault="00A2424B" w:rsidP="00A2424B">
      <w:pPr>
        <w:rPr>
          <w:lang w:eastAsia="en-US"/>
        </w:rPr>
        <w:sectPr w:rsidR="00A2424B" w:rsidRPr="00A2424B" w:rsidSect="00B54E6C">
          <w:type w:val="continuous"/>
          <w:pgSz w:w="11913" w:h="16834" w:code="9"/>
          <w:pgMar w:top="994" w:right="994" w:bottom="994" w:left="994" w:header="851" w:footer="567" w:gutter="0"/>
          <w:cols w:num="2" w:space="397"/>
          <w:noEndnote/>
          <w:titlePg/>
          <w:docGrid w:linePitch="326"/>
        </w:sectPr>
      </w:pPr>
    </w:p>
    <w:p w:rsidR="00B05677" w:rsidRPr="00B05677" w:rsidRDefault="00B05677" w:rsidP="00481AD1">
      <w:pPr>
        <w:ind w:firstLine="284"/>
        <w:rPr>
          <w:b/>
          <w:lang w:eastAsia="en-US"/>
        </w:rPr>
      </w:pPr>
      <w:r w:rsidRPr="00B05677">
        <w:rPr>
          <w:b/>
          <w:lang w:eastAsia="en-US"/>
        </w:rPr>
        <w:t>References</w:t>
      </w:r>
    </w:p>
    <w:p w:rsidR="00B05677" w:rsidRDefault="00B05677" w:rsidP="00481AD1">
      <w:pPr>
        <w:ind w:firstLine="284"/>
        <w:rPr>
          <w:lang w:eastAsia="en-US"/>
        </w:rPr>
      </w:pPr>
    </w:p>
    <w:p w:rsidR="009B6D56" w:rsidRDefault="00B54E6C" w:rsidP="00E06414">
      <w:pPr>
        <w:ind w:left="454" w:hanging="454"/>
        <w:rPr>
          <w:rFonts w:eastAsiaTheme="minorEastAsia"/>
          <w:lang w:eastAsia="ja-JP"/>
        </w:rPr>
      </w:pPr>
      <w:r w:rsidRPr="00F437F6">
        <w:rPr>
          <w:highlight w:val="yellow"/>
          <w:lang w:eastAsia="en-US"/>
        </w:rPr>
        <w:t>[</w:t>
      </w:r>
      <w:r w:rsidR="00481AD1" w:rsidRPr="00F437F6">
        <w:rPr>
          <w:highlight w:val="yellow"/>
          <w:lang w:eastAsia="en-US"/>
        </w:rPr>
        <w:t>1</w:t>
      </w:r>
      <w:r w:rsidRPr="00F437F6">
        <w:rPr>
          <w:highlight w:val="yellow"/>
          <w:lang w:eastAsia="en-US"/>
        </w:rPr>
        <w:t>]</w:t>
      </w:r>
      <w:r w:rsidR="00481AD1">
        <w:rPr>
          <w:lang w:eastAsia="en-US"/>
        </w:rPr>
        <w:tab/>
      </w:r>
      <w:r w:rsidR="00EB23CC">
        <w:rPr>
          <w:lang w:eastAsia="en-US"/>
        </w:rPr>
        <w:t xml:space="preserve">J. </w:t>
      </w:r>
      <w:r w:rsidR="009B6D56">
        <w:rPr>
          <w:rFonts w:eastAsiaTheme="minorEastAsia" w:hint="eastAsia"/>
          <w:lang w:eastAsia="ja-JP"/>
        </w:rPr>
        <w:t>Lloy</w:t>
      </w:r>
      <w:r w:rsidR="00A11EE7">
        <w:rPr>
          <w:rFonts w:eastAsiaTheme="minorEastAsia" w:hint="eastAsia"/>
          <w:lang w:eastAsia="ja-JP"/>
        </w:rPr>
        <w:t>d-Hughes</w:t>
      </w:r>
      <w:r w:rsidR="00EB23CC">
        <w:rPr>
          <w:rFonts w:eastAsiaTheme="minorEastAsia"/>
          <w:lang w:eastAsia="ja-JP"/>
        </w:rPr>
        <w:t xml:space="preserve"> and</w:t>
      </w:r>
      <w:r w:rsidR="00A11EE7">
        <w:rPr>
          <w:rFonts w:eastAsiaTheme="minorEastAsia" w:hint="eastAsia"/>
          <w:lang w:eastAsia="ja-JP"/>
        </w:rPr>
        <w:t xml:space="preserve"> </w:t>
      </w:r>
      <w:r w:rsidR="00EB23CC">
        <w:rPr>
          <w:rFonts w:eastAsiaTheme="minorEastAsia"/>
          <w:lang w:eastAsia="ja-JP"/>
        </w:rPr>
        <w:t>T.I.</w:t>
      </w:r>
      <w:r w:rsidR="00A11EE7">
        <w:rPr>
          <w:rFonts w:eastAsiaTheme="minorEastAsia" w:hint="eastAsia"/>
          <w:lang w:eastAsia="ja-JP"/>
        </w:rPr>
        <w:t xml:space="preserve"> </w:t>
      </w:r>
      <w:r w:rsidR="00216EF6">
        <w:rPr>
          <w:rFonts w:eastAsiaTheme="minorEastAsia" w:hint="eastAsia"/>
          <w:lang w:eastAsia="ja-JP"/>
        </w:rPr>
        <w:t xml:space="preserve">Jeon, </w:t>
      </w:r>
      <w:r w:rsidR="001B58D6">
        <w:rPr>
          <w:rFonts w:eastAsiaTheme="minorEastAsia"/>
          <w:lang w:eastAsia="ja-JP"/>
        </w:rPr>
        <w:t>“</w:t>
      </w:r>
      <w:r w:rsidR="00A11EE7">
        <w:rPr>
          <w:rFonts w:eastAsiaTheme="minorEastAsia" w:hint="eastAsia"/>
          <w:lang w:eastAsia="ja-JP"/>
        </w:rPr>
        <w:t xml:space="preserve">A </w:t>
      </w:r>
      <w:r w:rsidR="009B6D56">
        <w:rPr>
          <w:rFonts w:eastAsiaTheme="minorEastAsia" w:hint="eastAsia"/>
          <w:lang w:eastAsia="ja-JP"/>
        </w:rPr>
        <w:t xml:space="preserve">review of the terahertz conductivity of bulk and </w:t>
      </w:r>
      <w:proofErr w:type="spellStart"/>
      <w:r w:rsidR="009B6D56">
        <w:rPr>
          <w:rFonts w:eastAsiaTheme="minorEastAsia" w:hint="eastAsia"/>
          <w:lang w:eastAsia="ja-JP"/>
        </w:rPr>
        <w:t>nano</w:t>
      </w:r>
      <w:proofErr w:type="spellEnd"/>
      <w:r w:rsidR="009B6D56">
        <w:rPr>
          <w:rFonts w:eastAsiaTheme="minorEastAsia" w:hint="eastAsia"/>
          <w:lang w:eastAsia="ja-JP"/>
        </w:rPr>
        <w:t>-materials</w:t>
      </w:r>
      <w:r w:rsidR="001B58D6">
        <w:rPr>
          <w:rFonts w:eastAsiaTheme="minorEastAsia"/>
          <w:lang w:eastAsia="ja-JP"/>
        </w:rPr>
        <w:t>”,</w:t>
      </w:r>
      <w:r w:rsidR="009B6D56">
        <w:rPr>
          <w:rFonts w:eastAsiaTheme="minorEastAsia" w:hint="eastAsia"/>
          <w:lang w:eastAsia="ja-JP"/>
        </w:rPr>
        <w:t xml:space="preserve"> J. Infrared </w:t>
      </w:r>
      <w:proofErr w:type="spellStart"/>
      <w:r w:rsidR="009B6D56">
        <w:rPr>
          <w:rFonts w:eastAsiaTheme="minorEastAsia" w:hint="eastAsia"/>
          <w:lang w:eastAsia="ja-JP"/>
        </w:rPr>
        <w:t>Milli</w:t>
      </w:r>
      <w:proofErr w:type="spellEnd"/>
      <w:r w:rsidR="009B6D56">
        <w:rPr>
          <w:rFonts w:eastAsiaTheme="minorEastAsia" w:hint="eastAsia"/>
          <w:lang w:eastAsia="ja-JP"/>
        </w:rPr>
        <w:t xml:space="preserve"> Terahertz Waves, </w:t>
      </w:r>
      <w:r w:rsidR="001B58D6">
        <w:rPr>
          <w:rFonts w:eastAsiaTheme="minorEastAsia"/>
          <w:lang w:eastAsia="ja-JP"/>
        </w:rPr>
        <w:t xml:space="preserve">vol. </w:t>
      </w:r>
      <w:r w:rsidR="009B6D56" w:rsidRPr="009B6D56">
        <w:rPr>
          <w:rFonts w:eastAsiaTheme="minorEastAsia" w:hint="eastAsia"/>
          <w:b/>
          <w:lang w:eastAsia="ja-JP"/>
        </w:rPr>
        <w:t>33</w:t>
      </w:r>
      <w:r w:rsidR="009B6D56">
        <w:rPr>
          <w:rFonts w:eastAsiaTheme="minorEastAsia" w:hint="eastAsia"/>
          <w:lang w:eastAsia="ja-JP"/>
        </w:rPr>
        <w:t xml:space="preserve">, </w:t>
      </w:r>
      <w:r w:rsidR="001B58D6">
        <w:rPr>
          <w:rFonts w:eastAsiaTheme="minorEastAsia"/>
          <w:lang w:eastAsia="ja-JP"/>
        </w:rPr>
        <w:t xml:space="preserve">pp. </w:t>
      </w:r>
      <w:r w:rsidR="009B6D56">
        <w:rPr>
          <w:rFonts w:eastAsiaTheme="minorEastAsia" w:hint="eastAsia"/>
          <w:lang w:eastAsia="ja-JP"/>
        </w:rPr>
        <w:t>871</w:t>
      </w:r>
      <w:r w:rsidR="009D2780">
        <w:rPr>
          <w:rFonts w:eastAsiaTheme="minorEastAsia"/>
          <w:lang w:eastAsia="ja-JP"/>
        </w:rPr>
        <w:t>—</w:t>
      </w:r>
      <w:r w:rsidR="009B6D56">
        <w:rPr>
          <w:rFonts w:eastAsiaTheme="minorEastAsia" w:hint="eastAsia"/>
          <w:lang w:eastAsia="ja-JP"/>
        </w:rPr>
        <w:t>927</w:t>
      </w:r>
      <w:r w:rsidR="001B58D6">
        <w:rPr>
          <w:rFonts w:eastAsiaTheme="minorEastAsia"/>
          <w:lang w:eastAsia="ja-JP"/>
        </w:rPr>
        <w:t xml:space="preserve">, </w:t>
      </w:r>
      <w:r w:rsidR="009370EB">
        <w:rPr>
          <w:rFonts w:eastAsiaTheme="minorEastAsia"/>
          <w:lang w:eastAsia="ja-JP"/>
        </w:rPr>
        <w:t>2012.</w:t>
      </w:r>
      <w:r w:rsidR="009B6D56">
        <w:rPr>
          <w:rFonts w:eastAsiaTheme="minorEastAsia" w:hint="eastAsia"/>
          <w:lang w:eastAsia="ja-JP"/>
        </w:rPr>
        <w:t xml:space="preserve"> </w:t>
      </w:r>
      <w:r w:rsidR="009B6D56">
        <w:rPr>
          <w:rFonts w:eastAsiaTheme="minorEastAsia"/>
          <w:lang w:eastAsia="ja-JP"/>
        </w:rPr>
        <w:t>D</w:t>
      </w:r>
      <w:r w:rsidR="009B6D56">
        <w:rPr>
          <w:rFonts w:eastAsiaTheme="minorEastAsia" w:hint="eastAsia"/>
          <w:lang w:eastAsia="ja-JP"/>
        </w:rPr>
        <w:t>oi:10.1007/s10762-012-9905-y.</w:t>
      </w:r>
    </w:p>
    <w:p w:rsidR="00216EF6" w:rsidRPr="00216EF6" w:rsidRDefault="00B54E6C" w:rsidP="00E06414">
      <w:pPr>
        <w:ind w:left="454" w:hanging="454"/>
        <w:rPr>
          <w:rFonts w:eastAsiaTheme="minorEastAsia"/>
          <w:lang w:eastAsia="ja-JP"/>
        </w:rPr>
      </w:pPr>
      <w:r w:rsidRPr="00F437F6">
        <w:rPr>
          <w:highlight w:val="yellow"/>
          <w:lang w:eastAsia="en-US"/>
        </w:rPr>
        <w:t>[</w:t>
      </w:r>
      <w:r w:rsidR="00481AD1" w:rsidRPr="00F437F6">
        <w:rPr>
          <w:highlight w:val="yellow"/>
          <w:lang w:eastAsia="en-US"/>
        </w:rPr>
        <w:t>2</w:t>
      </w:r>
      <w:r w:rsidRPr="00F437F6">
        <w:rPr>
          <w:highlight w:val="yellow"/>
          <w:lang w:eastAsia="en-US"/>
        </w:rPr>
        <w:t>]</w:t>
      </w:r>
      <w:r w:rsidR="00481AD1">
        <w:rPr>
          <w:lang w:eastAsia="en-US"/>
        </w:rPr>
        <w:tab/>
      </w:r>
      <w:r w:rsidR="001B58D6" w:rsidRPr="00186B5D">
        <w:rPr>
          <w:szCs w:val="24"/>
        </w:rPr>
        <w:t xml:space="preserve">M. Bucci, L. </w:t>
      </w:r>
      <w:proofErr w:type="spellStart"/>
      <w:r w:rsidR="001B58D6" w:rsidRPr="00186B5D">
        <w:rPr>
          <w:szCs w:val="24"/>
        </w:rPr>
        <w:t>Giancane</w:t>
      </w:r>
      <w:proofErr w:type="spellEnd"/>
      <w:r w:rsidR="001B58D6" w:rsidRPr="00186B5D">
        <w:rPr>
          <w:szCs w:val="24"/>
        </w:rPr>
        <w:t xml:space="preserve">, R. </w:t>
      </w:r>
      <w:proofErr w:type="spellStart"/>
      <w:r w:rsidR="001B58D6" w:rsidRPr="00186B5D">
        <w:rPr>
          <w:szCs w:val="24"/>
        </w:rPr>
        <w:t>Luzzi</w:t>
      </w:r>
      <w:proofErr w:type="spellEnd"/>
      <w:r w:rsidR="001B58D6" w:rsidRPr="00186B5D">
        <w:rPr>
          <w:szCs w:val="24"/>
        </w:rPr>
        <w:t xml:space="preserve">, and A. </w:t>
      </w:r>
      <w:proofErr w:type="spellStart"/>
      <w:r w:rsidR="001B58D6" w:rsidRPr="00186B5D">
        <w:rPr>
          <w:szCs w:val="24"/>
        </w:rPr>
        <w:t>Trifiletti</w:t>
      </w:r>
      <w:proofErr w:type="spellEnd"/>
      <w:r w:rsidR="001B58D6" w:rsidRPr="00186B5D">
        <w:rPr>
          <w:szCs w:val="24"/>
        </w:rPr>
        <w:t>, “Three-phase dual-rail pre-charge logic”, Proc. Workshop on Cryptographic Hardware and Embedded Systems (CHES '06</w:t>
      </w:r>
      <w:proofErr w:type="gramStart"/>
      <w:r w:rsidR="001B58D6" w:rsidRPr="00186B5D">
        <w:rPr>
          <w:szCs w:val="24"/>
        </w:rPr>
        <w:t>),  pp.</w:t>
      </w:r>
      <w:proofErr w:type="gramEnd"/>
      <w:r w:rsidR="001B58D6" w:rsidRPr="00186B5D">
        <w:rPr>
          <w:szCs w:val="24"/>
        </w:rPr>
        <w:t xml:space="preserve"> 232—234</w:t>
      </w:r>
      <w:r w:rsidR="001B58D6">
        <w:rPr>
          <w:szCs w:val="24"/>
        </w:rPr>
        <w:t xml:space="preserve">, </w:t>
      </w:r>
      <w:r w:rsidR="001B58D6" w:rsidRPr="00186B5D">
        <w:rPr>
          <w:szCs w:val="24"/>
        </w:rPr>
        <w:t>Yokohama, Japan, Oct. 10-13, 2006.</w:t>
      </w:r>
    </w:p>
    <w:p w:rsidR="00DD3028" w:rsidRDefault="00B54E6C" w:rsidP="00E06414">
      <w:pPr>
        <w:ind w:left="454" w:hanging="454"/>
        <w:rPr>
          <w:lang w:eastAsia="en-US"/>
        </w:rPr>
      </w:pPr>
      <w:r w:rsidRPr="00F437F6">
        <w:rPr>
          <w:highlight w:val="yellow"/>
          <w:lang w:eastAsia="en-US"/>
        </w:rPr>
        <w:t>[</w:t>
      </w:r>
      <w:r w:rsidR="00481AD1" w:rsidRPr="00F437F6">
        <w:rPr>
          <w:highlight w:val="yellow"/>
          <w:lang w:eastAsia="en-US"/>
        </w:rPr>
        <w:t>3</w:t>
      </w:r>
      <w:r w:rsidRPr="00F437F6">
        <w:rPr>
          <w:highlight w:val="yellow"/>
          <w:lang w:eastAsia="en-US"/>
        </w:rPr>
        <w:t>]</w:t>
      </w:r>
      <w:r w:rsidR="00481AD1">
        <w:rPr>
          <w:lang w:eastAsia="en-US"/>
        </w:rPr>
        <w:tab/>
      </w:r>
      <w:r w:rsidR="00EB23CC">
        <w:rPr>
          <w:lang w:eastAsia="en-US"/>
        </w:rPr>
        <w:t xml:space="preserve">F. </w:t>
      </w:r>
      <w:r w:rsidR="00CF2CC0">
        <w:rPr>
          <w:lang w:eastAsia="en-US"/>
        </w:rPr>
        <w:t xml:space="preserve">Wooten, </w:t>
      </w:r>
      <w:r w:rsidR="001B58D6">
        <w:rPr>
          <w:lang w:eastAsia="en-US"/>
        </w:rPr>
        <w:t>“</w:t>
      </w:r>
      <w:r w:rsidR="00CF2CC0" w:rsidRPr="00DD3028">
        <w:rPr>
          <w:i/>
          <w:lang w:eastAsia="en-US"/>
        </w:rPr>
        <w:t>Optical Properties of Solids</w:t>
      </w:r>
      <w:r w:rsidR="001B58D6">
        <w:rPr>
          <w:i/>
          <w:lang w:eastAsia="en-US"/>
        </w:rPr>
        <w:t>”</w:t>
      </w:r>
      <w:r w:rsidR="00CF2CC0">
        <w:rPr>
          <w:lang w:eastAsia="en-US"/>
        </w:rPr>
        <w:t>,</w:t>
      </w:r>
      <w:r w:rsidR="00DD3028">
        <w:rPr>
          <w:lang w:eastAsia="en-US"/>
        </w:rPr>
        <w:t xml:space="preserve"> Academic Press, New York, 1972. </w:t>
      </w:r>
    </w:p>
    <w:p w:rsidR="001B58D6" w:rsidRDefault="00B54E6C" w:rsidP="001B58D6">
      <w:pPr>
        <w:ind w:left="540" w:hanging="540"/>
        <w:rPr>
          <w:szCs w:val="24"/>
        </w:rPr>
      </w:pPr>
      <w:r w:rsidRPr="00F437F6">
        <w:rPr>
          <w:highlight w:val="yellow"/>
          <w:lang w:eastAsia="en-US"/>
        </w:rPr>
        <w:t>[</w:t>
      </w:r>
      <w:r w:rsidR="00481AD1" w:rsidRPr="00F437F6">
        <w:rPr>
          <w:highlight w:val="yellow"/>
          <w:lang w:eastAsia="en-US"/>
        </w:rPr>
        <w:t>4</w:t>
      </w:r>
      <w:r w:rsidRPr="00F437F6">
        <w:rPr>
          <w:highlight w:val="yellow"/>
          <w:lang w:eastAsia="en-US"/>
        </w:rPr>
        <w:t>]</w:t>
      </w:r>
      <w:r w:rsidR="00481AD1">
        <w:rPr>
          <w:lang w:eastAsia="en-US"/>
        </w:rPr>
        <w:tab/>
      </w:r>
      <w:r w:rsidR="001B58D6" w:rsidRPr="00186B5D">
        <w:rPr>
          <w:szCs w:val="24"/>
        </w:rPr>
        <w:t xml:space="preserve">A. Moradi, M. </w:t>
      </w:r>
      <w:proofErr w:type="spellStart"/>
      <w:r w:rsidR="001B58D6" w:rsidRPr="00186B5D">
        <w:rPr>
          <w:szCs w:val="24"/>
        </w:rPr>
        <w:t>Khatir</w:t>
      </w:r>
      <w:proofErr w:type="spellEnd"/>
      <w:r w:rsidR="001B58D6" w:rsidRPr="00186B5D">
        <w:rPr>
          <w:szCs w:val="24"/>
        </w:rPr>
        <w:t xml:space="preserve">, M. </w:t>
      </w:r>
      <w:proofErr w:type="spellStart"/>
      <w:r w:rsidR="001B58D6" w:rsidRPr="00186B5D">
        <w:rPr>
          <w:szCs w:val="24"/>
        </w:rPr>
        <w:t>Salmasizadeh</w:t>
      </w:r>
      <w:proofErr w:type="spellEnd"/>
      <w:r w:rsidR="001B58D6" w:rsidRPr="00186B5D">
        <w:rPr>
          <w:szCs w:val="24"/>
        </w:rPr>
        <w:t xml:space="preserve">, and M.T.M. </w:t>
      </w:r>
      <w:proofErr w:type="spellStart"/>
      <w:r w:rsidR="001B58D6" w:rsidRPr="00186B5D">
        <w:rPr>
          <w:szCs w:val="24"/>
        </w:rPr>
        <w:t>Shalmani</w:t>
      </w:r>
      <w:proofErr w:type="spellEnd"/>
      <w:r w:rsidR="001B58D6" w:rsidRPr="00186B5D">
        <w:rPr>
          <w:szCs w:val="24"/>
        </w:rPr>
        <w:t xml:space="preserve">, “Investigating the DPA-resistance property of charge recovery logics”, Cryptology </w:t>
      </w:r>
      <w:proofErr w:type="spellStart"/>
      <w:r w:rsidR="001B58D6" w:rsidRPr="00186B5D">
        <w:rPr>
          <w:szCs w:val="24"/>
        </w:rPr>
        <w:t>ePrint</w:t>
      </w:r>
      <w:proofErr w:type="spellEnd"/>
      <w:r w:rsidR="001B58D6" w:rsidRPr="00186B5D">
        <w:rPr>
          <w:szCs w:val="24"/>
        </w:rPr>
        <w:t xml:space="preserve"> Archive, Report 2008/192, 2008</w:t>
      </w:r>
      <w:r w:rsidR="001B58D6">
        <w:rPr>
          <w:szCs w:val="24"/>
        </w:rPr>
        <w:t>.</w:t>
      </w:r>
      <w:r w:rsidR="001B58D6" w:rsidRPr="00186B5D">
        <w:rPr>
          <w:szCs w:val="24"/>
        </w:rPr>
        <w:t xml:space="preserve"> [Online] Available </w:t>
      </w:r>
    </w:p>
    <w:p w:rsidR="00481AD1" w:rsidRDefault="001B58D6" w:rsidP="001B58D6">
      <w:pPr>
        <w:ind w:left="454"/>
        <w:rPr>
          <w:lang w:eastAsia="en-US"/>
        </w:rPr>
      </w:pPr>
      <w:r w:rsidRPr="00186B5D">
        <w:rPr>
          <w:szCs w:val="24"/>
        </w:rPr>
        <w:t>URL: http://eprint.iacr.org/2008/192</w:t>
      </w:r>
      <w:r w:rsidR="006921A7">
        <w:rPr>
          <w:lang w:eastAsia="en-US"/>
        </w:rPr>
        <w:t xml:space="preserve"> </w:t>
      </w:r>
    </w:p>
    <w:sectPr w:rsidR="00481AD1" w:rsidSect="00B54E6C">
      <w:type w:val="continuous"/>
      <w:pgSz w:w="11913" w:h="16834" w:code="9"/>
      <w:pgMar w:top="994" w:right="994" w:bottom="994" w:left="994" w:header="851" w:footer="567" w:gutter="0"/>
      <w:cols w:num="2" w:space="397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1D9" w:rsidRDefault="00A871D9">
      <w:pPr>
        <w:spacing w:line="240" w:lineRule="auto"/>
      </w:pPr>
      <w:r>
        <w:separator/>
      </w:r>
    </w:p>
  </w:endnote>
  <w:endnote w:type="continuationSeparator" w:id="0">
    <w:p w:rsidR="00A871D9" w:rsidRDefault="00A87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0EB" w:rsidRDefault="009370EB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9370EB" w:rsidRDefault="009370E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0EB" w:rsidRDefault="009370EB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1D9" w:rsidRDefault="00A871D9">
      <w:pPr>
        <w:spacing w:line="240" w:lineRule="auto"/>
      </w:pPr>
      <w:r>
        <w:separator/>
      </w:r>
    </w:p>
  </w:footnote>
  <w:footnote w:type="continuationSeparator" w:id="0">
    <w:p w:rsidR="00A871D9" w:rsidRDefault="00A871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0EB" w:rsidRPr="007125F4" w:rsidRDefault="009370EB" w:rsidP="00B578B2">
    <w:pPr>
      <w:pStyle w:val="Header"/>
      <w:tabs>
        <w:tab w:val="clear" w:pos="4513"/>
        <w:tab w:val="clear" w:pos="9026"/>
        <w:tab w:val="right" w:pos="9925"/>
      </w:tabs>
      <w:rPr>
        <w:b/>
      </w:rPr>
    </w:pPr>
    <w:r w:rsidRPr="007125F4">
      <w:rPr>
        <w:b/>
      </w:rPr>
      <w:tab/>
    </w:r>
    <w:r w:rsidRPr="007125F4">
      <w:rPr>
        <w:b/>
      </w:rPr>
      <w:fldChar w:fldCharType="begin"/>
    </w:r>
    <w:r w:rsidRPr="007125F4">
      <w:rPr>
        <w:b/>
      </w:rPr>
      <w:instrText xml:space="preserve"> PAGE   \* MERGEFORMAT </w:instrText>
    </w:r>
    <w:r w:rsidRPr="007125F4">
      <w:rPr>
        <w:b/>
      </w:rPr>
      <w:fldChar w:fldCharType="separate"/>
    </w:r>
    <w:r w:rsidR="00A94409">
      <w:rPr>
        <w:b/>
        <w:noProof/>
      </w:rPr>
      <w:t>12</w:t>
    </w:r>
    <w:r w:rsidRPr="007125F4">
      <w:rPr>
        <w:b/>
      </w:rPr>
      <w:fldChar w:fldCharType="end"/>
    </w:r>
  </w:p>
  <w:p w:rsidR="009370EB" w:rsidRDefault="009370EB" w:rsidP="007125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E1C026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0B44C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2476AC"/>
    <w:multiLevelType w:val="singleLevel"/>
    <w:tmpl w:val="EEDE6B7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16747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235F66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9F367D9"/>
    <w:multiLevelType w:val="singleLevel"/>
    <w:tmpl w:val="94D66E3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C9735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CE0114A"/>
    <w:multiLevelType w:val="hybridMultilevel"/>
    <w:tmpl w:val="CA88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D0EC1"/>
    <w:multiLevelType w:val="singleLevel"/>
    <w:tmpl w:val="46D6EB0C"/>
    <w:lvl w:ilvl="0">
      <w:start w:val="2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9" w15:restartNumberingAfterBreak="0">
    <w:nsid w:val="1193550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32655E1"/>
    <w:multiLevelType w:val="singleLevel"/>
    <w:tmpl w:val="DAEC23BA"/>
    <w:lvl w:ilvl="0">
      <w:start w:val="109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hint="default"/>
      </w:rPr>
    </w:lvl>
  </w:abstractNum>
  <w:abstractNum w:abstractNumId="11" w15:restartNumberingAfterBreak="0">
    <w:nsid w:val="14757786"/>
    <w:multiLevelType w:val="singleLevel"/>
    <w:tmpl w:val="35D471E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BB346B8"/>
    <w:multiLevelType w:val="singleLevel"/>
    <w:tmpl w:val="040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31D55B4"/>
    <w:multiLevelType w:val="singleLevel"/>
    <w:tmpl w:val="CA8A9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2569699F"/>
    <w:multiLevelType w:val="hybridMultilevel"/>
    <w:tmpl w:val="396645A2"/>
    <w:lvl w:ilvl="0" w:tplc="365CDED2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 w:tplc="9F6EE2D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08FC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A9ECAE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220585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898134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67454B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3ACF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D838D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6024AAC"/>
    <w:multiLevelType w:val="singleLevel"/>
    <w:tmpl w:val="CDCE17D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77142A3"/>
    <w:multiLevelType w:val="hybridMultilevel"/>
    <w:tmpl w:val="2E9C76F0"/>
    <w:lvl w:ilvl="0" w:tplc="920E869A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8" w:hanging="420"/>
      </w:pPr>
    </w:lvl>
  </w:abstractNum>
  <w:abstractNum w:abstractNumId="17" w15:restartNumberingAfterBreak="0">
    <w:nsid w:val="285336B8"/>
    <w:multiLevelType w:val="singleLevel"/>
    <w:tmpl w:val="D5C467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BA22BEC"/>
    <w:multiLevelType w:val="singleLevel"/>
    <w:tmpl w:val="639E3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2FE643E5"/>
    <w:multiLevelType w:val="singleLevel"/>
    <w:tmpl w:val="D692271E"/>
    <w:lvl w:ilvl="0">
      <w:start w:val="1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0" w15:restartNumberingAfterBreak="0">
    <w:nsid w:val="30BC4DCF"/>
    <w:multiLevelType w:val="hybridMultilevel"/>
    <w:tmpl w:val="9B0C8450"/>
    <w:lvl w:ilvl="0" w:tplc="75604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528893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3D442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524207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D4C2F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F345CF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694D0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B61A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B86AB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42118C4"/>
    <w:multiLevelType w:val="hybridMultilevel"/>
    <w:tmpl w:val="8BAAA0BE"/>
    <w:lvl w:ilvl="0" w:tplc="A198F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2B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1CC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36C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4AE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63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DE9A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0C96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0EE0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7E0C74"/>
    <w:multiLevelType w:val="singleLevel"/>
    <w:tmpl w:val="BCE4153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70204C8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DE07217"/>
    <w:multiLevelType w:val="singleLevel"/>
    <w:tmpl w:val="040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8E11781"/>
    <w:multiLevelType w:val="singleLevel"/>
    <w:tmpl w:val="DD000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A1F4F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ADB008C"/>
    <w:multiLevelType w:val="multilevel"/>
    <w:tmpl w:val="680CEB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46F27"/>
    <w:multiLevelType w:val="singleLevel"/>
    <w:tmpl w:val="F9EEBC8E"/>
    <w:lvl w:ilvl="0">
      <w:start w:val="1"/>
      <w:numFmt w:val="decimal"/>
      <w:lvlText w:val="(%1)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29" w15:restartNumberingAfterBreak="0">
    <w:nsid w:val="58A7449E"/>
    <w:multiLevelType w:val="multilevel"/>
    <w:tmpl w:val="2904D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654C85"/>
    <w:multiLevelType w:val="hybridMultilevel"/>
    <w:tmpl w:val="2BF00094"/>
    <w:lvl w:ilvl="0" w:tplc="5E626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82607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7960F24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D714921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E21BD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BB7E839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4A2AA5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A6962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960F16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180269A"/>
    <w:multiLevelType w:val="hybridMultilevel"/>
    <w:tmpl w:val="18362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F4E42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4F26AB9"/>
    <w:multiLevelType w:val="singleLevel"/>
    <w:tmpl w:val="94D66E3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54C593F"/>
    <w:multiLevelType w:val="singleLevel"/>
    <w:tmpl w:val="12C469DE"/>
    <w:lvl w:ilvl="0">
      <w:start w:val="108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5" w15:restartNumberingAfterBreak="0">
    <w:nsid w:val="66AF2525"/>
    <w:multiLevelType w:val="singleLevel"/>
    <w:tmpl w:val="EA460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68B64C66"/>
    <w:multiLevelType w:val="hybridMultilevel"/>
    <w:tmpl w:val="666834F4"/>
    <w:lvl w:ilvl="0" w:tplc="6792E9C4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 w:tplc="852EDB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86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23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BA7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CFF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0C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A217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8D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363B02"/>
    <w:multiLevelType w:val="hybridMultilevel"/>
    <w:tmpl w:val="0A9EA6FC"/>
    <w:lvl w:ilvl="0" w:tplc="756AC15E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 w:tplc="B9A0C2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B23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C07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A88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F22B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44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B2C2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E473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826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D6D314E"/>
    <w:multiLevelType w:val="singleLevel"/>
    <w:tmpl w:val="040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E3B25C3"/>
    <w:multiLevelType w:val="multilevel"/>
    <w:tmpl w:val="632266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egacy w:legacy="1" w:legacySpace="0" w:legacyIndent="540"/>
      <w:lvlJc w:val="left"/>
      <w:pPr>
        <w:ind w:left="1080" w:hanging="540"/>
      </w:pPr>
    </w:lvl>
    <w:lvl w:ilvl="2">
      <w:start w:val="1"/>
      <w:numFmt w:val="decimal"/>
      <w:lvlText w:val="%3)"/>
      <w:legacy w:legacy="1" w:legacySpace="0" w:legacyIndent="540"/>
      <w:lvlJc w:val="left"/>
      <w:pPr>
        <w:ind w:left="1620" w:hanging="540"/>
      </w:pPr>
    </w:lvl>
    <w:lvl w:ilvl="3">
      <w:start w:val="1"/>
      <w:numFmt w:val="decimal"/>
      <w:lvlText w:val="%4)"/>
      <w:legacy w:legacy="1" w:legacySpace="0" w:legacyIndent="540"/>
      <w:lvlJc w:val="left"/>
      <w:pPr>
        <w:ind w:left="2160" w:hanging="540"/>
      </w:pPr>
    </w:lvl>
    <w:lvl w:ilvl="4">
      <w:start w:val="1"/>
      <w:numFmt w:val="decimal"/>
      <w:lvlText w:val="%5)"/>
      <w:legacy w:legacy="1" w:legacySpace="0" w:legacyIndent="540"/>
      <w:lvlJc w:val="left"/>
      <w:pPr>
        <w:ind w:left="2700" w:hanging="540"/>
      </w:pPr>
    </w:lvl>
    <w:lvl w:ilvl="5">
      <w:start w:val="1"/>
      <w:numFmt w:val="decimal"/>
      <w:lvlText w:val="%6)"/>
      <w:legacy w:legacy="1" w:legacySpace="0" w:legacyIndent="540"/>
      <w:lvlJc w:val="left"/>
      <w:pPr>
        <w:ind w:left="3240" w:hanging="540"/>
      </w:pPr>
    </w:lvl>
    <w:lvl w:ilvl="6">
      <w:start w:val="1"/>
      <w:numFmt w:val="decimal"/>
      <w:lvlText w:val="%7)"/>
      <w:legacy w:legacy="1" w:legacySpace="0" w:legacyIndent="540"/>
      <w:lvlJc w:val="left"/>
      <w:pPr>
        <w:ind w:left="3780" w:hanging="540"/>
      </w:pPr>
    </w:lvl>
    <w:lvl w:ilvl="7">
      <w:start w:val="1"/>
      <w:numFmt w:val="decimal"/>
      <w:lvlText w:val="%8)"/>
      <w:legacy w:legacy="1" w:legacySpace="0" w:legacyIndent="540"/>
      <w:lvlJc w:val="left"/>
      <w:pPr>
        <w:ind w:left="4320" w:hanging="540"/>
      </w:pPr>
    </w:lvl>
    <w:lvl w:ilvl="8">
      <w:start w:val="1"/>
      <w:numFmt w:val="lowerRoman"/>
      <w:lvlText w:val="%9"/>
      <w:legacy w:legacy="1" w:legacySpace="0" w:legacyIndent="540"/>
      <w:lvlJc w:val="left"/>
      <w:pPr>
        <w:ind w:left="4860" w:hanging="540"/>
      </w:pPr>
    </w:lvl>
  </w:abstractNum>
  <w:abstractNum w:abstractNumId="41" w15:restartNumberingAfterBreak="0">
    <w:nsid w:val="701B7B80"/>
    <w:multiLevelType w:val="singleLevel"/>
    <w:tmpl w:val="54245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2" w15:restartNumberingAfterBreak="0">
    <w:nsid w:val="73D639AD"/>
    <w:multiLevelType w:val="singleLevel"/>
    <w:tmpl w:val="ADA667F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79E3787"/>
    <w:multiLevelType w:val="singleLevel"/>
    <w:tmpl w:val="0C568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abstractNum w:abstractNumId="44" w15:restartNumberingAfterBreak="0">
    <w:nsid w:val="793A03E0"/>
    <w:multiLevelType w:val="multilevel"/>
    <w:tmpl w:val="92B6B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3D0209"/>
    <w:multiLevelType w:val="hybridMultilevel"/>
    <w:tmpl w:val="8904CFC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114AF4"/>
    <w:multiLevelType w:val="singleLevel"/>
    <w:tmpl w:val="9ABCB2E6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47" w15:restartNumberingAfterBreak="0">
    <w:nsid w:val="7F9E1436"/>
    <w:multiLevelType w:val="singleLevel"/>
    <w:tmpl w:val="FDBE004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5"/>
  </w:num>
  <w:num w:numId="5">
    <w:abstractNumId w:val="26"/>
  </w:num>
  <w:num w:numId="6">
    <w:abstractNumId w:val="18"/>
  </w:num>
  <w:num w:numId="7">
    <w:abstractNumId w:val="9"/>
  </w:num>
  <w:num w:numId="8">
    <w:abstractNumId w:val="40"/>
  </w:num>
  <w:num w:numId="9">
    <w:abstractNumId w:val="3"/>
  </w:num>
  <w:num w:numId="10">
    <w:abstractNumId w:val="17"/>
  </w:num>
  <w:num w:numId="11">
    <w:abstractNumId w:val="32"/>
  </w:num>
  <w:num w:numId="12">
    <w:abstractNumId w:val="6"/>
  </w:num>
  <w:num w:numId="13">
    <w:abstractNumId w:val="38"/>
  </w:num>
  <w:num w:numId="14">
    <w:abstractNumId w:val="19"/>
  </w:num>
  <w:num w:numId="15">
    <w:abstractNumId w:val="46"/>
  </w:num>
  <w:num w:numId="16">
    <w:abstractNumId w:val="43"/>
  </w:num>
  <w:num w:numId="17">
    <w:abstractNumId w:val="11"/>
  </w:num>
  <w:num w:numId="18">
    <w:abstractNumId w:val="35"/>
  </w:num>
  <w:num w:numId="19">
    <w:abstractNumId w:val="4"/>
  </w:num>
  <w:num w:numId="20">
    <w:abstractNumId w:val="5"/>
  </w:num>
  <w:num w:numId="21">
    <w:abstractNumId w:val="33"/>
  </w:num>
  <w:num w:numId="22">
    <w:abstractNumId w:val="2"/>
  </w:num>
  <w:num w:numId="23">
    <w:abstractNumId w:val="47"/>
  </w:num>
  <w:num w:numId="24">
    <w:abstractNumId w:val="42"/>
  </w:num>
  <w:num w:numId="25">
    <w:abstractNumId w:val="22"/>
  </w:num>
  <w:num w:numId="26">
    <w:abstractNumId w:val="15"/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9"/>
  </w:num>
  <w:num w:numId="30">
    <w:abstractNumId w:val="13"/>
  </w:num>
  <w:num w:numId="31">
    <w:abstractNumId w:val="28"/>
  </w:num>
  <w:num w:numId="32">
    <w:abstractNumId w:val="39"/>
  </w:num>
  <w:num w:numId="33">
    <w:abstractNumId w:val="24"/>
  </w:num>
  <w:num w:numId="34">
    <w:abstractNumId w:val="12"/>
  </w:num>
  <w:num w:numId="35">
    <w:abstractNumId w:val="23"/>
  </w:num>
  <w:num w:numId="36">
    <w:abstractNumId w:val="34"/>
  </w:num>
  <w:num w:numId="37">
    <w:abstractNumId w:val="10"/>
  </w:num>
  <w:num w:numId="38">
    <w:abstractNumId w:val="21"/>
  </w:num>
  <w:num w:numId="39">
    <w:abstractNumId w:val="14"/>
  </w:num>
  <w:num w:numId="40">
    <w:abstractNumId w:val="36"/>
  </w:num>
  <w:num w:numId="41">
    <w:abstractNumId w:val="37"/>
  </w:num>
  <w:num w:numId="42">
    <w:abstractNumId w:val="20"/>
  </w:num>
  <w:num w:numId="43">
    <w:abstractNumId w:val="30"/>
  </w:num>
  <w:num w:numId="44">
    <w:abstractNumId w:val="41"/>
  </w:num>
  <w:num w:numId="45">
    <w:abstractNumId w:val="45"/>
  </w:num>
  <w:num w:numId="46">
    <w:abstractNumId w:val="16"/>
  </w:num>
  <w:num w:numId="47">
    <w:abstractNumId w:val="7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proofState w:spelling="clean" w:grammar="clean"/>
  <w:attachedTemplate r:id="rId1"/>
  <w:defaultTabStop w:val="709"/>
  <w:hyphenationZone w:val="357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53"/>
    <w:rsid w:val="00010274"/>
    <w:rsid w:val="00012BD0"/>
    <w:rsid w:val="00014858"/>
    <w:rsid w:val="00014C5E"/>
    <w:rsid w:val="00015578"/>
    <w:rsid w:val="00015C8F"/>
    <w:rsid w:val="00016B28"/>
    <w:rsid w:val="00026A57"/>
    <w:rsid w:val="00027F6B"/>
    <w:rsid w:val="0003087D"/>
    <w:rsid w:val="000353F2"/>
    <w:rsid w:val="000356AD"/>
    <w:rsid w:val="00035751"/>
    <w:rsid w:val="000400E3"/>
    <w:rsid w:val="000452DD"/>
    <w:rsid w:val="00050621"/>
    <w:rsid w:val="00053158"/>
    <w:rsid w:val="00054807"/>
    <w:rsid w:val="00061347"/>
    <w:rsid w:val="00083DD7"/>
    <w:rsid w:val="00091E6D"/>
    <w:rsid w:val="000923C3"/>
    <w:rsid w:val="000A529F"/>
    <w:rsid w:val="000A6FDC"/>
    <w:rsid w:val="000A70C7"/>
    <w:rsid w:val="000B050B"/>
    <w:rsid w:val="000B08C7"/>
    <w:rsid w:val="000B4BF1"/>
    <w:rsid w:val="000B4CA2"/>
    <w:rsid w:val="000B51BB"/>
    <w:rsid w:val="000B64AD"/>
    <w:rsid w:val="000C19BB"/>
    <w:rsid w:val="000C20C3"/>
    <w:rsid w:val="000C538F"/>
    <w:rsid w:val="000C773F"/>
    <w:rsid w:val="000D1A2F"/>
    <w:rsid w:val="000D3A0D"/>
    <w:rsid w:val="000E141D"/>
    <w:rsid w:val="000E24CB"/>
    <w:rsid w:val="000E6C21"/>
    <w:rsid w:val="000F78DB"/>
    <w:rsid w:val="00106124"/>
    <w:rsid w:val="00132DE8"/>
    <w:rsid w:val="00136B18"/>
    <w:rsid w:val="00137D14"/>
    <w:rsid w:val="00143505"/>
    <w:rsid w:val="0014565A"/>
    <w:rsid w:val="00146559"/>
    <w:rsid w:val="00146BBC"/>
    <w:rsid w:val="00150B4B"/>
    <w:rsid w:val="00152734"/>
    <w:rsid w:val="00153DBA"/>
    <w:rsid w:val="00154A2A"/>
    <w:rsid w:val="00164C75"/>
    <w:rsid w:val="00164D8D"/>
    <w:rsid w:val="00167017"/>
    <w:rsid w:val="00176470"/>
    <w:rsid w:val="00182AB2"/>
    <w:rsid w:val="0018735B"/>
    <w:rsid w:val="0019090D"/>
    <w:rsid w:val="00192260"/>
    <w:rsid w:val="00194EC9"/>
    <w:rsid w:val="001A05E1"/>
    <w:rsid w:val="001A1DA2"/>
    <w:rsid w:val="001A6F4A"/>
    <w:rsid w:val="001B4D68"/>
    <w:rsid w:val="001B58D6"/>
    <w:rsid w:val="001B5B77"/>
    <w:rsid w:val="001B5F70"/>
    <w:rsid w:val="001B7F78"/>
    <w:rsid w:val="001D20B7"/>
    <w:rsid w:val="001D57C2"/>
    <w:rsid w:val="001E08EC"/>
    <w:rsid w:val="001E2A9D"/>
    <w:rsid w:val="001E31F1"/>
    <w:rsid w:val="001F10D6"/>
    <w:rsid w:val="001F5C0B"/>
    <w:rsid w:val="00200338"/>
    <w:rsid w:val="00202DE1"/>
    <w:rsid w:val="002101BB"/>
    <w:rsid w:val="00210DD7"/>
    <w:rsid w:val="00214CB6"/>
    <w:rsid w:val="00216EF6"/>
    <w:rsid w:val="00217050"/>
    <w:rsid w:val="00223541"/>
    <w:rsid w:val="00232A31"/>
    <w:rsid w:val="0023311B"/>
    <w:rsid w:val="002332D7"/>
    <w:rsid w:val="002354C7"/>
    <w:rsid w:val="00235D3E"/>
    <w:rsid w:val="0024327A"/>
    <w:rsid w:val="0024416A"/>
    <w:rsid w:val="00252533"/>
    <w:rsid w:val="00264244"/>
    <w:rsid w:val="00264AD8"/>
    <w:rsid w:val="00267C33"/>
    <w:rsid w:val="00272E73"/>
    <w:rsid w:val="00275A5A"/>
    <w:rsid w:val="0027625B"/>
    <w:rsid w:val="0028131A"/>
    <w:rsid w:val="00294D10"/>
    <w:rsid w:val="00296380"/>
    <w:rsid w:val="0029755F"/>
    <w:rsid w:val="002A35FC"/>
    <w:rsid w:val="002A3949"/>
    <w:rsid w:val="002A3AF9"/>
    <w:rsid w:val="002A3B51"/>
    <w:rsid w:val="002B06C6"/>
    <w:rsid w:val="002B16C5"/>
    <w:rsid w:val="002B2622"/>
    <w:rsid w:val="002B4523"/>
    <w:rsid w:val="002B5A0B"/>
    <w:rsid w:val="002C447C"/>
    <w:rsid w:val="002C5A5F"/>
    <w:rsid w:val="002C5F80"/>
    <w:rsid w:val="002D01BC"/>
    <w:rsid w:val="002D3668"/>
    <w:rsid w:val="002F4FF4"/>
    <w:rsid w:val="002F5B56"/>
    <w:rsid w:val="003007B7"/>
    <w:rsid w:val="00300AFF"/>
    <w:rsid w:val="00301163"/>
    <w:rsid w:val="00302B6F"/>
    <w:rsid w:val="003130EC"/>
    <w:rsid w:val="00313ADA"/>
    <w:rsid w:val="0031471D"/>
    <w:rsid w:val="00323456"/>
    <w:rsid w:val="003325E2"/>
    <w:rsid w:val="00332F4D"/>
    <w:rsid w:val="003416ED"/>
    <w:rsid w:val="00342F99"/>
    <w:rsid w:val="003451CC"/>
    <w:rsid w:val="003541A4"/>
    <w:rsid w:val="003709BB"/>
    <w:rsid w:val="00372554"/>
    <w:rsid w:val="00383750"/>
    <w:rsid w:val="003844B3"/>
    <w:rsid w:val="00394195"/>
    <w:rsid w:val="003B0BFD"/>
    <w:rsid w:val="003D09AD"/>
    <w:rsid w:val="003D2B94"/>
    <w:rsid w:val="003F06BF"/>
    <w:rsid w:val="003F1BC7"/>
    <w:rsid w:val="003F4017"/>
    <w:rsid w:val="004059BA"/>
    <w:rsid w:val="0040715B"/>
    <w:rsid w:val="00412811"/>
    <w:rsid w:val="00415DF9"/>
    <w:rsid w:val="00416181"/>
    <w:rsid w:val="004455FA"/>
    <w:rsid w:val="00464D72"/>
    <w:rsid w:val="0046708F"/>
    <w:rsid w:val="0047200C"/>
    <w:rsid w:val="00475E53"/>
    <w:rsid w:val="00476959"/>
    <w:rsid w:val="00476A9C"/>
    <w:rsid w:val="00481AD1"/>
    <w:rsid w:val="00487DC3"/>
    <w:rsid w:val="00492985"/>
    <w:rsid w:val="00494942"/>
    <w:rsid w:val="004A032D"/>
    <w:rsid w:val="004A4FD9"/>
    <w:rsid w:val="004B25C9"/>
    <w:rsid w:val="004B690C"/>
    <w:rsid w:val="004C759A"/>
    <w:rsid w:val="004D5F4C"/>
    <w:rsid w:val="004F0963"/>
    <w:rsid w:val="004F67D7"/>
    <w:rsid w:val="00501143"/>
    <w:rsid w:val="00501596"/>
    <w:rsid w:val="005018AE"/>
    <w:rsid w:val="0050452F"/>
    <w:rsid w:val="0051402D"/>
    <w:rsid w:val="00515CAE"/>
    <w:rsid w:val="00517888"/>
    <w:rsid w:val="005354DF"/>
    <w:rsid w:val="00543CD0"/>
    <w:rsid w:val="005650BF"/>
    <w:rsid w:val="00566840"/>
    <w:rsid w:val="005834CB"/>
    <w:rsid w:val="005870EA"/>
    <w:rsid w:val="005933F0"/>
    <w:rsid w:val="0059691C"/>
    <w:rsid w:val="005A127E"/>
    <w:rsid w:val="005A18BD"/>
    <w:rsid w:val="005C574A"/>
    <w:rsid w:val="005C6C40"/>
    <w:rsid w:val="005D0A68"/>
    <w:rsid w:val="005D7EF0"/>
    <w:rsid w:val="005E17AD"/>
    <w:rsid w:val="005E3C69"/>
    <w:rsid w:val="005E5E4D"/>
    <w:rsid w:val="005F1C08"/>
    <w:rsid w:val="005F6A7D"/>
    <w:rsid w:val="005F71F5"/>
    <w:rsid w:val="006013BB"/>
    <w:rsid w:val="00601826"/>
    <w:rsid w:val="0060250D"/>
    <w:rsid w:val="00602720"/>
    <w:rsid w:val="006053BD"/>
    <w:rsid w:val="0061169E"/>
    <w:rsid w:val="00616FC4"/>
    <w:rsid w:val="00620633"/>
    <w:rsid w:val="00621619"/>
    <w:rsid w:val="006230F1"/>
    <w:rsid w:val="0062379A"/>
    <w:rsid w:val="00630DC3"/>
    <w:rsid w:val="006326DF"/>
    <w:rsid w:val="00637045"/>
    <w:rsid w:val="00637B64"/>
    <w:rsid w:val="006412B2"/>
    <w:rsid w:val="00642573"/>
    <w:rsid w:val="00642853"/>
    <w:rsid w:val="00644AF6"/>
    <w:rsid w:val="00650236"/>
    <w:rsid w:val="00654A92"/>
    <w:rsid w:val="0066067C"/>
    <w:rsid w:val="00662EB5"/>
    <w:rsid w:val="006660A1"/>
    <w:rsid w:val="006700F5"/>
    <w:rsid w:val="00676915"/>
    <w:rsid w:val="006921A7"/>
    <w:rsid w:val="006959D8"/>
    <w:rsid w:val="00697025"/>
    <w:rsid w:val="006A1882"/>
    <w:rsid w:val="006A6E23"/>
    <w:rsid w:val="006C3562"/>
    <w:rsid w:val="006C3BD6"/>
    <w:rsid w:val="006C6A19"/>
    <w:rsid w:val="006D11A0"/>
    <w:rsid w:val="006D7839"/>
    <w:rsid w:val="006E0F0F"/>
    <w:rsid w:val="006E131C"/>
    <w:rsid w:val="006E2CBE"/>
    <w:rsid w:val="006E3E6D"/>
    <w:rsid w:val="006E54A0"/>
    <w:rsid w:val="006E7CAB"/>
    <w:rsid w:val="006F26AC"/>
    <w:rsid w:val="006F5E48"/>
    <w:rsid w:val="00712317"/>
    <w:rsid w:val="007125F4"/>
    <w:rsid w:val="007149C7"/>
    <w:rsid w:val="0072538B"/>
    <w:rsid w:val="00730C70"/>
    <w:rsid w:val="0073530B"/>
    <w:rsid w:val="00735EA6"/>
    <w:rsid w:val="00743478"/>
    <w:rsid w:val="00747B11"/>
    <w:rsid w:val="00751F92"/>
    <w:rsid w:val="00756CBB"/>
    <w:rsid w:val="007617C2"/>
    <w:rsid w:val="0076334E"/>
    <w:rsid w:val="007670B3"/>
    <w:rsid w:val="00770E85"/>
    <w:rsid w:val="0077133F"/>
    <w:rsid w:val="00771853"/>
    <w:rsid w:val="00781A51"/>
    <w:rsid w:val="007909D3"/>
    <w:rsid w:val="0079245F"/>
    <w:rsid w:val="00793537"/>
    <w:rsid w:val="007A290A"/>
    <w:rsid w:val="007A74D9"/>
    <w:rsid w:val="007B0F01"/>
    <w:rsid w:val="007B1FDB"/>
    <w:rsid w:val="007B3075"/>
    <w:rsid w:val="007B35FB"/>
    <w:rsid w:val="007B4079"/>
    <w:rsid w:val="007B4F3D"/>
    <w:rsid w:val="007C7B49"/>
    <w:rsid w:val="007E0597"/>
    <w:rsid w:val="007E0CB5"/>
    <w:rsid w:val="007E38AD"/>
    <w:rsid w:val="007F3A07"/>
    <w:rsid w:val="007F5EF7"/>
    <w:rsid w:val="0080423D"/>
    <w:rsid w:val="008125E8"/>
    <w:rsid w:val="00815A9F"/>
    <w:rsid w:val="00815F63"/>
    <w:rsid w:val="008205EE"/>
    <w:rsid w:val="00825F51"/>
    <w:rsid w:val="0083127B"/>
    <w:rsid w:val="00840826"/>
    <w:rsid w:val="00840C1C"/>
    <w:rsid w:val="008411D0"/>
    <w:rsid w:val="00843CF7"/>
    <w:rsid w:val="00844507"/>
    <w:rsid w:val="0084729A"/>
    <w:rsid w:val="00851242"/>
    <w:rsid w:val="0085645B"/>
    <w:rsid w:val="00864733"/>
    <w:rsid w:val="0087005E"/>
    <w:rsid w:val="00870320"/>
    <w:rsid w:val="00872C33"/>
    <w:rsid w:val="00880132"/>
    <w:rsid w:val="0088126A"/>
    <w:rsid w:val="0088391B"/>
    <w:rsid w:val="008962FB"/>
    <w:rsid w:val="008A5A67"/>
    <w:rsid w:val="008B59E2"/>
    <w:rsid w:val="008C29DA"/>
    <w:rsid w:val="008E170E"/>
    <w:rsid w:val="008E5299"/>
    <w:rsid w:val="008F0484"/>
    <w:rsid w:val="008F1D2F"/>
    <w:rsid w:val="009025AD"/>
    <w:rsid w:val="009121A0"/>
    <w:rsid w:val="009132E9"/>
    <w:rsid w:val="00921397"/>
    <w:rsid w:val="00923795"/>
    <w:rsid w:val="00923C2B"/>
    <w:rsid w:val="00931126"/>
    <w:rsid w:val="009370EB"/>
    <w:rsid w:val="00947E90"/>
    <w:rsid w:val="009628CF"/>
    <w:rsid w:val="00964CC9"/>
    <w:rsid w:val="009677DB"/>
    <w:rsid w:val="00985ED5"/>
    <w:rsid w:val="00986CAF"/>
    <w:rsid w:val="0099031F"/>
    <w:rsid w:val="00997A72"/>
    <w:rsid w:val="009A18D4"/>
    <w:rsid w:val="009B5B51"/>
    <w:rsid w:val="009B6D56"/>
    <w:rsid w:val="009B7397"/>
    <w:rsid w:val="009C3764"/>
    <w:rsid w:val="009C5DB6"/>
    <w:rsid w:val="009C6DBE"/>
    <w:rsid w:val="009D1A95"/>
    <w:rsid w:val="009D1F5D"/>
    <w:rsid w:val="009D2780"/>
    <w:rsid w:val="009D2B19"/>
    <w:rsid w:val="009E13B5"/>
    <w:rsid w:val="009E19F4"/>
    <w:rsid w:val="009E3042"/>
    <w:rsid w:val="009E6511"/>
    <w:rsid w:val="00A0171D"/>
    <w:rsid w:val="00A01789"/>
    <w:rsid w:val="00A018E8"/>
    <w:rsid w:val="00A023EF"/>
    <w:rsid w:val="00A11EE7"/>
    <w:rsid w:val="00A11FA0"/>
    <w:rsid w:val="00A16B44"/>
    <w:rsid w:val="00A2424B"/>
    <w:rsid w:val="00A244F1"/>
    <w:rsid w:val="00A2684B"/>
    <w:rsid w:val="00A378E1"/>
    <w:rsid w:val="00A4101D"/>
    <w:rsid w:val="00A42775"/>
    <w:rsid w:val="00A44050"/>
    <w:rsid w:val="00A4641C"/>
    <w:rsid w:val="00A4677E"/>
    <w:rsid w:val="00A54ACC"/>
    <w:rsid w:val="00A7261D"/>
    <w:rsid w:val="00A74A75"/>
    <w:rsid w:val="00A77BE8"/>
    <w:rsid w:val="00A8644C"/>
    <w:rsid w:val="00A86571"/>
    <w:rsid w:val="00A871D9"/>
    <w:rsid w:val="00A91D15"/>
    <w:rsid w:val="00A94409"/>
    <w:rsid w:val="00A958D8"/>
    <w:rsid w:val="00A97476"/>
    <w:rsid w:val="00AA22BF"/>
    <w:rsid w:val="00AA360A"/>
    <w:rsid w:val="00AA488B"/>
    <w:rsid w:val="00AA7BFC"/>
    <w:rsid w:val="00AB6514"/>
    <w:rsid w:val="00AB6709"/>
    <w:rsid w:val="00AB7C4B"/>
    <w:rsid w:val="00AE38DE"/>
    <w:rsid w:val="00AE3906"/>
    <w:rsid w:val="00AE4A7A"/>
    <w:rsid w:val="00AF74BC"/>
    <w:rsid w:val="00B05677"/>
    <w:rsid w:val="00B124F9"/>
    <w:rsid w:val="00B13AE9"/>
    <w:rsid w:val="00B1640D"/>
    <w:rsid w:val="00B2052B"/>
    <w:rsid w:val="00B24E73"/>
    <w:rsid w:val="00B3048E"/>
    <w:rsid w:val="00B32E45"/>
    <w:rsid w:val="00B4697C"/>
    <w:rsid w:val="00B532AC"/>
    <w:rsid w:val="00B5382A"/>
    <w:rsid w:val="00B54E6C"/>
    <w:rsid w:val="00B578B2"/>
    <w:rsid w:val="00B615DC"/>
    <w:rsid w:val="00B6241B"/>
    <w:rsid w:val="00B62459"/>
    <w:rsid w:val="00B66720"/>
    <w:rsid w:val="00B72A1B"/>
    <w:rsid w:val="00B75039"/>
    <w:rsid w:val="00B95EA5"/>
    <w:rsid w:val="00BA2B07"/>
    <w:rsid w:val="00BB64B6"/>
    <w:rsid w:val="00BD2DEB"/>
    <w:rsid w:val="00BD3ADF"/>
    <w:rsid w:val="00BD50AA"/>
    <w:rsid w:val="00BE38D0"/>
    <w:rsid w:val="00BE7969"/>
    <w:rsid w:val="00BF6644"/>
    <w:rsid w:val="00C04030"/>
    <w:rsid w:val="00C12861"/>
    <w:rsid w:val="00C13E5C"/>
    <w:rsid w:val="00C24F69"/>
    <w:rsid w:val="00C30A85"/>
    <w:rsid w:val="00C36E55"/>
    <w:rsid w:val="00C446CD"/>
    <w:rsid w:val="00C52EFC"/>
    <w:rsid w:val="00C533DC"/>
    <w:rsid w:val="00C62150"/>
    <w:rsid w:val="00C65BBC"/>
    <w:rsid w:val="00C66FF2"/>
    <w:rsid w:val="00C70752"/>
    <w:rsid w:val="00C70A84"/>
    <w:rsid w:val="00C73F16"/>
    <w:rsid w:val="00C75972"/>
    <w:rsid w:val="00C7775C"/>
    <w:rsid w:val="00C807AD"/>
    <w:rsid w:val="00C80FC8"/>
    <w:rsid w:val="00C852C5"/>
    <w:rsid w:val="00C92D3A"/>
    <w:rsid w:val="00C932D9"/>
    <w:rsid w:val="00C96258"/>
    <w:rsid w:val="00CA12C3"/>
    <w:rsid w:val="00CA770C"/>
    <w:rsid w:val="00CC168C"/>
    <w:rsid w:val="00CE572B"/>
    <w:rsid w:val="00CE6CDD"/>
    <w:rsid w:val="00CF2CC0"/>
    <w:rsid w:val="00CF7701"/>
    <w:rsid w:val="00D13F0C"/>
    <w:rsid w:val="00D16A09"/>
    <w:rsid w:val="00D266F1"/>
    <w:rsid w:val="00D27953"/>
    <w:rsid w:val="00D33760"/>
    <w:rsid w:val="00D35199"/>
    <w:rsid w:val="00D40ACB"/>
    <w:rsid w:val="00D446FE"/>
    <w:rsid w:val="00D454F0"/>
    <w:rsid w:val="00D61F2D"/>
    <w:rsid w:val="00D700B9"/>
    <w:rsid w:val="00D818A0"/>
    <w:rsid w:val="00D81A2B"/>
    <w:rsid w:val="00D96C47"/>
    <w:rsid w:val="00DA5E89"/>
    <w:rsid w:val="00DA7611"/>
    <w:rsid w:val="00DB1A5C"/>
    <w:rsid w:val="00DB41FF"/>
    <w:rsid w:val="00DC3805"/>
    <w:rsid w:val="00DD04B3"/>
    <w:rsid w:val="00DD085B"/>
    <w:rsid w:val="00DD3028"/>
    <w:rsid w:val="00DD3460"/>
    <w:rsid w:val="00DD787D"/>
    <w:rsid w:val="00DE32AC"/>
    <w:rsid w:val="00DE7F23"/>
    <w:rsid w:val="00DF0AD3"/>
    <w:rsid w:val="00DF5B68"/>
    <w:rsid w:val="00E04790"/>
    <w:rsid w:val="00E06414"/>
    <w:rsid w:val="00E214F8"/>
    <w:rsid w:val="00E22F4B"/>
    <w:rsid w:val="00E22FBF"/>
    <w:rsid w:val="00E341A6"/>
    <w:rsid w:val="00E3593A"/>
    <w:rsid w:val="00E469E0"/>
    <w:rsid w:val="00E61112"/>
    <w:rsid w:val="00E61151"/>
    <w:rsid w:val="00E61CE7"/>
    <w:rsid w:val="00E64F65"/>
    <w:rsid w:val="00E66B25"/>
    <w:rsid w:val="00E73093"/>
    <w:rsid w:val="00E74884"/>
    <w:rsid w:val="00E75AEC"/>
    <w:rsid w:val="00E76E40"/>
    <w:rsid w:val="00E84F3D"/>
    <w:rsid w:val="00E872CE"/>
    <w:rsid w:val="00E879CB"/>
    <w:rsid w:val="00E92D16"/>
    <w:rsid w:val="00E95879"/>
    <w:rsid w:val="00EA344E"/>
    <w:rsid w:val="00EA3FEF"/>
    <w:rsid w:val="00EA6486"/>
    <w:rsid w:val="00EB23CC"/>
    <w:rsid w:val="00EB3FF9"/>
    <w:rsid w:val="00EB49D1"/>
    <w:rsid w:val="00EC5F04"/>
    <w:rsid w:val="00ED2781"/>
    <w:rsid w:val="00ED5A11"/>
    <w:rsid w:val="00ED70A0"/>
    <w:rsid w:val="00EE14D3"/>
    <w:rsid w:val="00EE7137"/>
    <w:rsid w:val="00EE7BC0"/>
    <w:rsid w:val="00F17C5D"/>
    <w:rsid w:val="00F2630B"/>
    <w:rsid w:val="00F274FD"/>
    <w:rsid w:val="00F27ECB"/>
    <w:rsid w:val="00F33EC8"/>
    <w:rsid w:val="00F437F6"/>
    <w:rsid w:val="00F47C1C"/>
    <w:rsid w:val="00F54613"/>
    <w:rsid w:val="00F609EB"/>
    <w:rsid w:val="00F61EF9"/>
    <w:rsid w:val="00F66590"/>
    <w:rsid w:val="00F82F8D"/>
    <w:rsid w:val="00F858CB"/>
    <w:rsid w:val="00F872F6"/>
    <w:rsid w:val="00F901D9"/>
    <w:rsid w:val="00F91AE4"/>
    <w:rsid w:val="00F92F36"/>
    <w:rsid w:val="00FA40E3"/>
    <w:rsid w:val="00FC2ACC"/>
    <w:rsid w:val="00FC38E2"/>
    <w:rsid w:val="00FD03C4"/>
    <w:rsid w:val="00FE1159"/>
    <w:rsid w:val="00FE356D"/>
    <w:rsid w:val="00FF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AC4782"/>
  <w15:docId w15:val="{8136334E-0400-484F-A1DE-E25F810C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FF9"/>
    <w:pPr>
      <w:spacing w:line="340" w:lineRule="atLeast"/>
      <w:jc w:val="both"/>
    </w:pPr>
    <w:rPr>
      <w:rFonts w:eastAsia="Times New Roman"/>
      <w:color w:val="000000"/>
      <w:sz w:val="24"/>
      <w:lang w:val="en-US" w:eastAsia="de-DE"/>
    </w:rPr>
  </w:style>
  <w:style w:type="paragraph" w:styleId="Heading1">
    <w:name w:val="heading 1"/>
    <w:aliases w:val="x"/>
    <w:basedOn w:val="Normal"/>
    <w:next w:val="Normal"/>
    <w:qFormat/>
    <w:rsid w:val="00EB3FF9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rsid w:val="00EB3FF9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EB3FF9"/>
    <w:pPr>
      <w:ind w:left="354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B3FF9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  <w:color w:val="auto"/>
      <w:sz w:val="22"/>
    </w:rPr>
  </w:style>
  <w:style w:type="paragraph" w:styleId="Heading5">
    <w:name w:val="heading 5"/>
    <w:basedOn w:val="Normal"/>
    <w:next w:val="Normal"/>
    <w:qFormat/>
    <w:rsid w:val="00EB3FF9"/>
    <w:pPr>
      <w:ind w:left="708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EB3FF9"/>
    <w:pPr>
      <w:ind w:left="708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rsid w:val="00EB3FF9"/>
    <w:pPr>
      <w:ind w:left="708"/>
      <w:outlineLvl w:val="6"/>
    </w:pPr>
    <w:rPr>
      <w:i/>
    </w:rPr>
  </w:style>
  <w:style w:type="paragraph" w:styleId="Heading8">
    <w:name w:val="heading 8"/>
    <w:basedOn w:val="Normal"/>
    <w:next w:val="Normal"/>
    <w:qFormat/>
    <w:rsid w:val="00EB3FF9"/>
    <w:pPr>
      <w:ind w:left="708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B3FF9"/>
    <w:pPr>
      <w:ind w:left="708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Header">
    <w:name w:val="M_Header"/>
    <w:basedOn w:val="Normal"/>
    <w:rsid w:val="00EB3FF9"/>
  </w:style>
  <w:style w:type="paragraph" w:customStyle="1" w:styleId="MTitel">
    <w:name w:val="M_Titel"/>
    <w:basedOn w:val="Normal"/>
    <w:autoRedefine/>
    <w:rsid w:val="00EB3FF9"/>
    <w:pPr>
      <w:spacing w:line="240" w:lineRule="auto"/>
      <w:jc w:val="left"/>
    </w:pPr>
    <w:rPr>
      <w:b/>
      <w:sz w:val="36"/>
    </w:rPr>
  </w:style>
  <w:style w:type="paragraph" w:customStyle="1" w:styleId="MHeading1">
    <w:name w:val="M_Heading1"/>
    <w:basedOn w:val="Normal"/>
    <w:rsid w:val="00EB3FF9"/>
    <w:pPr>
      <w:spacing w:before="240" w:after="240"/>
    </w:pPr>
    <w:rPr>
      <w:b/>
    </w:rPr>
  </w:style>
  <w:style w:type="paragraph" w:customStyle="1" w:styleId="MText">
    <w:name w:val="M_Text"/>
    <w:basedOn w:val="Normal"/>
    <w:rsid w:val="00EB3FF9"/>
    <w:pPr>
      <w:ind w:firstLine="284"/>
    </w:pPr>
  </w:style>
  <w:style w:type="paragraph" w:customStyle="1" w:styleId="MHeading2">
    <w:name w:val="M_Heading2"/>
    <w:basedOn w:val="Normal"/>
    <w:rsid w:val="00EB3FF9"/>
    <w:pPr>
      <w:spacing w:before="240" w:after="240"/>
    </w:pPr>
    <w:rPr>
      <w:i/>
    </w:rPr>
  </w:style>
  <w:style w:type="paragraph" w:customStyle="1" w:styleId="MHeading3">
    <w:name w:val="M_Heading3"/>
    <w:basedOn w:val="Normal"/>
    <w:rsid w:val="00EB3FF9"/>
    <w:pPr>
      <w:spacing w:before="240" w:after="240"/>
    </w:pPr>
  </w:style>
  <w:style w:type="paragraph" w:customStyle="1" w:styleId="MAcknow">
    <w:name w:val="M_Acknow"/>
    <w:basedOn w:val="Normal"/>
    <w:rsid w:val="00EB3FF9"/>
  </w:style>
  <w:style w:type="paragraph" w:customStyle="1" w:styleId="MRefer">
    <w:name w:val="M_Refer"/>
    <w:basedOn w:val="Normal"/>
    <w:rsid w:val="00EB3FF9"/>
    <w:pPr>
      <w:ind w:left="454" w:hanging="454"/>
    </w:pPr>
  </w:style>
  <w:style w:type="paragraph" w:customStyle="1" w:styleId="MCaption">
    <w:name w:val="M_Caption"/>
    <w:basedOn w:val="Normal"/>
    <w:rsid w:val="00EB3FF9"/>
    <w:pPr>
      <w:spacing w:before="240" w:after="240"/>
      <w:jc w:val="center"/>
    </w:pPr>
  </w:style>
  <w:style w:type="paragraph" w:customStyle="1" w:styleId="MFigure">
    <w:name w:val="M_Figure"/>
    <w:basedOn w:val="Normal"/>
    <w:rsid w:val="00EB3FF9"/>
    <w:pPr>
      <w:spacing w:before="240" w:line="240" w:lineRule="auto"/>
      <w:jc w:val="center"/>
    </w:pPr>
  </w:style>
  <w:style w:type="paragraph" w:customStyle="1" w:styleId="Mtable">
    <w:name w:val="M_table"/>
    <w:basedOn w:val="Normal"/>
    <w:rsid w:val="00EB3FF9"/>
    <w:pPr>
      <w:keepNext/>
      <w:tabs>
        <w:tab w:val="left" w:pos="284"/>
      </w:tabs>
    </w:pPr>
    <w:rPr>
      <w:color w:val="auto"/>
    </w:rPr>
  </w:style>
  <w:style w:type="paragraph" w:customStyle="1" w:styleId="Mabstract">
    <w:name w:val="M_abstract"/>
    <w:basedOn w:val="Normal"/>
    <w:rsid w:val="00EB3FF9"/>
    <w:pPr>
      <w:spacing w:before="240"/>
      <w:ind w:left="510" w:right="510"/>
    </w:pPr>
  </w:style>
  <w:style w:type="paragraph" w:customStyle="1" w:styleId="Maddress">
    <w:name w:val="M_address"/>
    <w:basedOn w:val="Normal"/>
    <w:rsid w:val="00EB3FF9"/>
    <w:pPr>
      <w:spacing w:before="240"/>
      <w:jc w:val="left"/>
    </w:pPr>
  </w:style>
  <w:style w:type="paragraph" w:customStyle="1" w:styleId="Mauthor">
    <w:name w:val="M_author"/>
    <w:basedOn w:val="Normal"/>
    <w:autoRedefine/>
    <w:rsid w:val="00EB3FF9"/>
    <w:pPr>
      <w:spacing w:before="240"/>
      <w:jc w:val="left"/>
    </w:pPr>
    <w:rPr>
      <w:b/>
      <w:lang w:val="it-IT"/>
    </w:rPr>
  </w:style>
  <w:style w:type="paragraph" w:customStyle="1" w:styleId="Mreceived">
    <w:name w:val="M_received"/>
    <w:basedOn w:val="Maddress"/>
    <w:rsid w:val="00EB3FF9"/>
    <w:rPr>
      <w:i/>
    </w:rPr>
  </w:style>
  <w:style w:type="paragraph" w:customStyle="1" w:styleId="Mline2">
    <w:name w:val="M_line2"/>
    <w:basedOn w:val="Normal"/>
    <w:rsid w:val="00EB3FF9"/>
    <w:pPr>
      <w:pBdr>
        <w:bottom w:val="single" w:sz="6" w:space="1" w:color="auto"/>
      </w:pBdr>
      <w:spacing w:after="480"/>
    </w:pPr>
  </w:style>
  <w:style w:type="paragraph" w:customStyle="1" w:styleId="MTablecaption">
    <w:name w:val="M_Tablecaption"/>
    <w:basedOn w:val="MCaption"/>
    <w:rsid w:val="00EB3FF9"/>
    <w:pPr>
      <w:spacing w:after="0"/>
    </w:pPr>
  </w:style>
  <w:style w:type="paragraph" w:customStyle="1" w:styleId="Mline1">
    <w:name w:val="M_line1"/>
    <w:basedOn w:val="Mline2"/>
    <w:rsid w:val="00EB3FF9"/>
    <w:pPr>
      <w:spacing w:after="0"/>
    </w:pPr>
  </w:style>
  <w:style w:type="paragraph" w:customStyle="1" w:styleId="MLogo">
    <w:name w:val="M_Logo"/>
    <w:basedOn w:val="Normal"/>
    <w:rsid w:val="00EB3FF9"/>
    <w:pPr>
      <w:spacing w:before="140" w:line="240" w:lineRule="auto"/>
      <w:jc w:val="right"/>
    </w:pPr>
    <w:rPr>
      <w:b/>
      <w:i/>
      <w:sz w:val="64"/>
    </w:rPr>
  </w:style>
  <w:style w:type="paragraph" w:customStyle="1" w:styleId="MISSN">
    <w:name w:val="M_ISSN"/>
    <w:basedOn w:val="Normal"/>
    <w:rsid w:val="00EB3FF9"/>
    <w:pPr>
      <w:spacing w:after="520"/>
      <w:jc w:val="right"/>
    </w:pPr>
  </w:style>
  <w:style w:type="paragraph" w:customStyle="1" w:styleId="MCopyright">
    <w:name w:val="M_Copyright"/>
    <w:basedOn w:val="Normal"/>
    <w:rsid w:val="00EB3FF9"/>
    <w:pPr>
      <w:tabs>
        <w:tab w:val="center" w:pos="4536"/>
        <w:tab w:val="right" w:pos="9072"/>
      </w:tabs>
      <w:spacing w:before="240"/>
      <w:jc w:val="left"/>
    </w:pPr>
  </w:style>
  <w:style w:type="character" w:styleId="CommentReference">
    <w:name w:val="annotation reference"/>
    <w:semiHidden/>
    <w:rsid w:val="00EB3FF9"/>
    <w:rPr>
      <w:sz w:val="16"/>
      <w:szCs w:val="16"/>
    </w:rPr>
  </w:style>
  <w:style w:type="paragraph" w:styleId="CommentText">
    <w:name w:val="annotation text"/>
    <w:basedOn w:val="Normal"/>
    <w:semiHidden/>
    <w:rsid w:val="00EB3FF9"/>
    <w:rPr>
      <w:sz w:val="20"/>
    </w:rPr>
  </w:style>
  <w:style w:type="character" w:styleId="Hyperlink">
    <w:name w:val="Hyperlink"/>
    <w:semiHidden/>
    <w:rsid w:val="00EB3FF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57C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D57C2"/>
    <w:rPr>
      <w:rFonts w:eastAsia="Times New Roman"/>
      <w:color w:val="000000"/>
      <w:sz w:val="24"/>
      <w:lang w:val="en-US" w:eastAsia="de-DE"/>
    </w:rPr>
  </w:style>
  <w:style w:type="paragraph" w:styleId="Footer">
    <w:name w:val="footer"/>
    <w:basedOn w:val="Normal"/>
    <w:link w:val="FooterChar"/>
    <w:uiPriority w:val="99"/>
    <w:unhideWhenUsed/>
    <w:rsid w:val="001D57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D57C2"/>
    <w:rPr>
      <w:rFonts w:eastAsia="Times New Roman"/>
      <w:color w:val="000000"/>
      <w:sz w:val="24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D0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43CD0"/>
    <w:rPr>
      <w:rFonts w:ascii="Tahoma" w:eastAsia="Times New Roman" w:hAnsi="Tahoma" w:cs="Tahoma"/>
      <w:color w:val="000000"/>
      <w:sz w:val="16"/>
      <w:szCs w:val="16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1E08EC"/>
    <w:rPr>
      <w:color w:val="808080"/>
    </w:rPr>
  </w:style>
  <w:style w:type="table" w:styleId="TableGrid">
    <w:name w:val="Table Grid"/>
    <w:basedOn w:val="TableNormal"/>
    <w:uiPriority w:val="59"/>
    <w:rsid w:val="009D2B19"/>
    <w:rPr>
      <w:rFonts w:asciiTheme="minorHAnsi" w:eastAsia="Times New Roman" w:hAnsiTheme="minorHAnsi" w:cstheme="minorBidi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1F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1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kosh1115\Plocha\applsci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2DB-C457-44B7-BC4E-A7F66128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applsci-template.dot</Template>
  <TotalTime>24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Applied Sciences</vt:lpstr>
      <vt:lpstr>Applied Sciences</vt:lpstr>
      <vt:lpstr>Applied Sciences</vt:lpstr>
    </vt:vector>
  </TitlesOfParts>
  <Company>Univerzita Pardubice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Applied Sciences</dc:title>
  <dc:creator>spravce</dc:creator>
  <cp:lastModifiedBy>Cancio</cp:lastModifiedBy>
  <cp:revision>7</cp:revision>
  <cp:lastPrinted>2017-11-21T02:12:00Z</cp:lastPrinted>
  <dcterms:created xsi:type="dcterms:W3CDTF">2018-02-19T07:36:00Z</dcterms:created>
  <dcterms:modified xsi:type="dcterms:W3CDTF">2018-04-12T05:59:00Z</dcterms:modified>
</cp:coreProperties>
</file>